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24C" w:rsidRDefault="00D138DA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A7124C" w:rsidRDefault="00D138DA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A7124C" w:rsidRDefault="00D138DA">
      <w:pPr>
        <w:widowControl/>
        <w:jc w:val="center"/>
        <w:rPr>
          <w:b/>
          <w:caps/>
          <w:sz w:val="28"/>
          <w:szCs w:val="28"/>
        </w:rPr>
      </w:pPr>
      <w:r>
        <w:rPr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A7124C" w:rsidRDefault="00D138DA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A7124C" w:rsidRDefault="00D138DA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(Финансовый университет)</w:t>
      </w:r>
    </w:p>
    <w:p w:rsidR="00A7124C" w:rsidRDefault="00A7124C">
      <w:pPr>
        <w:rPr>
          <w:sz w:val="24"/>
          <w:szCs w:val="24"/>
        </w:rPr>
      </w:pPr>
    </w:p>
    <w:p w:rsidR="00A7124C" w:rsidRDefault="00D138DA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A7124C" w:rsidRDefault="00D138DA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Финансового факультета </w:t>
      </w:r>
    </w:p>
    <w:p w:rsidR="00A7124C" w:rsidRDefault="00A7124C">
      <w:pPr>
        <w:jc w:val="center"/>
        <w:rPr>
          <w:b/>
          <w:sz w:val="28"/>
          <w:szCs w:val="28"/>
        </w:rPr>
      </w:pPr>
    </w:p>
    <w:p w:rsidR="00A7124C" w:rsidRDefault="00A7124C">
      <w:pPr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80"/>
        <w:gridCol w:w="4925"/>
      </w:tblGrid>
      <w:tr w:rsidR="00A7124C">
        <w:tc>
          <w:tcPr>
            <w:tcW w:w="5279" w:type="dxa"/>
          </w:tcPr>
          <w:p w:rsidR="00A7124C" w:rsidRDefault="00D13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A7124C" w:rsidRDefault="00A7124C">
            <w:pPr>
              <w:rPr>
                <w:sz w:val="28"/>
                <w:szCs w:val="28"/>
              </w:rPr>
            </w:pPr>
          </w:p>
          <w:p w:rsidR="00A7124C" w:rsidRDefault="00D138DA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ПАО «Промсвязьбанк»</w:t>
            </w:r>
          </w:p>
          <w:p w:rsidR="00A7124C" w:rsidRDefault="00D13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кредитного</w:t>
            </w:r>
          </w:p>
          <w:p w:rsidR="00A7124C" w:rsidRDefault="00D13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анализа проектов жилой недвижимости</w:t>
            </w:r>
          </w:p>
          <w:p w:rsidR="00A7124C" w:rsidRDefault="00D13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Департамента проектного</w:t>
            </w:r>
          </w:p>
          <w:p w:rsidR="00A7124C" w:rsidRDefault="00D13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финансирования</w:t>
            </w:r>
          </w:p>
          <w:p w:rsidR="00A7124C" w:rsidRDefault="00D13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________________М.Ю. Гусев</w:t>
            </w:r>
          </w:p>
          <w:p w:rsidR="00A7124C" w:rsidRDefault="00A7124C">
            <w:pPr>
              <w:rPr>
                <w:sz w:val="28"/>
                <w:szCs w:val="28"/>
              </w:rPr>
            </w:pPr>
          </w:p>
          <w:p w:rsidR="00A7124C" w:rsidRDefault="008A3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«22» ноября</w:t>
            </w:r>
            <w:r w:rsidR="00D138DA">
              <w:rPr>
                <w:sz w:val="28"/>
                <w:szCs w:val="28"/>
              </w:rPr>
              <w:t xml:space="preserve"> 2024 г.</w:t>
            </w:r>
          </w:p>
          <w:p w:rsidR="00A7124C" w:rsidRDefault="00A7124C">
            <w:pPr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A7124C" w:rsidRDefault="00D13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A7124C" w:rsidRDefault="00A7124C">
            <w:pPr>
              <w:rPr>
                <w:sz w:val="28"/>
                <w:szCs w:val="28"/>
              </w:rPr>
            </w:pPr>
          </w:p>
          <w:p w:rsidR="00A7124C" w:rsidRDefault="00D13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</w:t>
            </w:r>
          </w:p>
          <w:p w:rsidR="00A7124C" w:rsidRDefault="00D13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A7124C" w:rsidRDefault="00A7124C">
            <w:pPr>
              <w:rPr>
                <w:sz w:val="28"/>
                <w:szCs w:val="28"/>
              </w:rPr>
            </w:pPr>
          </w:p>
          <w:p w:rsidR="00A7124C" w:rsidRDefault="00A7124C">
            <w:pPr>
              <w:rPr>
                <w:sz w:val="28"/>
                <w:szCs w:val="28"/>
              </w:rPr>
            </w:pPr>
          </w:p>
          <w:p w:rsidR="00A7124C" w:rsidRDefault="00D13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_____________Е.А. Каменева </w:t>
            </w:r>
          </w:p>
          <w:p w:rsidR="00A7124C" w:rsidRDefault="00A7124C">
            <w:pPr>
              <w:jc w:val="right"/>
              <w:rPr>
                <w:sz w:val="28"/>
                <w:szCs w:val="28"/>
              </w:rPr>
            </w:pPr>
          </w:p>
          <w:p w:rsidR="00A7124C" w:rsidRDefault="008A3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«26» ноября </w:t>
            </w:r>
            <w:bookmarkStart w:id="0" w:name="_GoBack"/>
            <w:bookmarkEnd w:id="0"/>
            <w:r w:rsidR="00D138DA">
              <w:rPr>
                <w:sz w:val="28"/>
                <w:szCs w:val="28"/>
              </w:rPr>
              <w:t>2024 г.</w:t>
            </w:r>
          </w:p>
        </w:tc>
      </w:tr>
    </w:tbl>
    <w:p w:rsidR="00A7124C" w:rsidRDefault="00A7124C">
      <w:pPr>
        <w:rPr>
          <w:b/>
          <w:sz w:val="28"/>
          <w:szCs w:val="28"/>
        </w:rPr>
      </w:pPr>
    </w:p>
    <w:p w:rsidR="00A7124C" w:rsidRDefault="00D138DA">
      <w:pPr>
        <w:jc w:val="center"/>
        <w:rPr>
          <w:sz w:val="36"/>
          <w:szCs w:val="36"/>
        </w:rPr>
      </w:pPr>
      <w:r>
        <w:rPr>
          <w:sz w:val="36"/>
          <w:szCs w:val="36"/>
        </w:rPr>
        <w:t>Авис О.У., Чичуленков Д.А.</w:t>
      </w:r>
    </w:p>
    <w:p w:rsidR="00A7124C" w:rsidRDefault="00A7124C">
      <w:pPr>
        <w:jc w:val="center"/>
        <w:rPr>
          <w:sz w:val="36"/>
          <w:szCs w:val="36"/>
        </w:rPr>
      </w:pPr>
    </w:p>
    <w:p w:rsidR="00A7124C" w:rsidRDefault="00D138DA">
      <w:pPr>
        <w:tabs>
          <w:tab w:val="left" w:pos="780"/>
          <w:tab w:val="center" w:pos="4535"/>
        </w:tabs>
        <w:jc w:val="center"/>
        <w:rPr>
          <w:sz w:val="40"/>
        </w:rPr>
      </w:pPr>
      <w:r>
        <w:rPr>
          <w:sz w:val="40"/>
        </w:rPr>
        <w:t>Банковские кризисы и антикризисное управление</w:t>
      </w:r>
    </w:p>
    <w:p w:rsidR="00A7124C" w:rsidRDefault="00A7124C">
      <w:pPr>
        <w:spacing w:line="276" w:lineRule="auto"/>
        <w:jc w:val="center"/>
        <w:rPr>
          <w:b/>
          <w:sz w:val="28"/>
          <w:szCs w:val="28"/>
        </w:rPr>
      </w:pPr>
    </w:p>
    <w:p w:rsidR="00A7124C" w:rsidRDefault="00D138D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A7124C" w:rsidRDefault="00D138D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A7124C" w:rsidRDefault="00D138DA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38.04.08 «Финансы и кредит», </w:t>
      </w:r>
    </w:p>
    <w:p w:rsidR="00A7124C" w:rsidRDefault="00D138DA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направленности программы магистратуры: </w:t>
      </w:r>
    </w:p>
    <w:p w:rsidR="00A7124C" w:rsidRDefault="00D138DA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«Управление финансовыми рисками: прикладная аналитика и технологии в банках»</w:t>
      </w:r>
    </w:p>
    <w:p w:rsidR="00A7124C" w:rsidRDefault="00D138DA">
      <w:pPr>
        <w:spacing w:line="276" w:lineRule="auto"/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</w:t>
      </w:r>
    </w:p>
    <w:p w:rsidR="00A7124C" w:rsidRDefault="00D138DA">
      <w:pPr>
        <w:jc w:val="center"/>
        <w:rPr>
          <w:iCs/>
          <w:sz w:val="24"/>
          <w:szCs w:val="24"/>
        </w:rPr>
      </w:pPr>
      <w:r>
        <w:rPr>
          <w:i/>
          <w:sz w:val="28"/>
          <w:szCs w:val="28"/>
        </w:rPr>
        <w:t>Рекомендовано Ученым советом Финансового факультета</w:t>
      </w:r>
    </w:p>
    <w:p w:rsidR="00A7124C" w:rsidRDefault="00D138DA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 xml:space="preserve">протокол 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 xml:space="preserve"> 50 от «19» ноября 2024 г.</w:t>
      </w:r>
      <w:r>
        <w:rPr>
          <w:iCs/>
          <w:sz w:val="28"/>
          <w:szCs w:val="28"/>
        </w:rPr>
        <w:t>)</w:t>
      </w:r>
    </w:p>
    <w:p w:rsidR="00A7124C" w:rsidRDefault="00A7124C">
      <w:pPr>
        <w:jc w:val="center"/>
        <w:rPr>
          <w:iCs/>
          <w:sz w:val="28"/>
          <w:szCs w:val="28"/>
        </w:rPr>
      </w:pPr>
    </w:p>
    <w:p w:rsidR="00A7124C" w:rsidRDefault="00D138D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Кафедрой банковского дела и</w:t>
      </w:r>
    </w:p>
    <w:p w:rsidR="00A7124C" w:rsidRDefault="00D138D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монетарного регулирования</w:t>
      </w:r>
    </w:p>
    <w:p w:rsidR="00A7124C" w:rsidRDefault="00D138DA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i/>
          <w:sz w:val="28"/>
          <w:szCs w:val="28"/>
        </w:rPr>
        <w:t>(протокол от «06» ноября 2024 г.  № 5)</w:t>
      </w:r>
    </w:p>
    <w:p w:rsidR="00A7124C" w:rsidRDefault="00A7124C">
      <w:pPr>
        <w:jc w:val="center"/>
        <w:rPr>
          <w:b/>
          <w:sz w:val="28"/>
          <w:szCs w:val="28"/>
        </w:rPr>
      </w:pPr>
    </w:p>
    <w:p w:rsidR="00A7124C" w:rsidRDefault="00D138DA">
      <w:pPr>
        <w:jc w:val="center"/>
        <w:rPr>
          <w:b/>
          <w:sz w:val="28"/>
          <w:szCs w:val="28"/>
        </w:rPr>
        <w:sectPr w:rsidR="00A7124C">
          <w:pgSz w:w="11906" w:h="16838"/>
          <w:pgMar w:top="1134" w:right="567" w:bottom="1134" w:left="1134" w:header="0" w:footer="0" w:gutter="0"/>
          <w:pgNumType w:start="1"/>
          <w:cols w:space="720"/>
          <w:formProt w:val="0"/>
          <w:docGrid w:linePitch="360"/>
        </w:sectPr>
      </w:pPr>
      <w:r>
        <w:rPr>
          <w:b/>
          <w:sz w:val="28"/>
          <w:szCs w:val="28"/>
        </w:rPr>
        <w:t>Москва 2024</w:t>
      </w:r>
    </w:p>
    <w:p w:rsidR="00A7124C" w:rsidRDefault="00A7124C">
      <w:pPr>
        <w:keepNext/>
        <w:spacing w:line="360" w:lineRule="auto"/>
        <w:rPr>
          <w:b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549761527"/>
        <w:docPartObj>
          <w:docPartGallery w:val="Table of Contents"/>
          <w:docPartUnique/>
        </w:docPartObj>
      </w:sdtPr>
      <w:sdtEndPr/>
      <w:sdtContent>
        <w:p w:rsidR="00A7124C" w:rsidRDefault="00D138DA">
          <w:pPr>
            <w:pStyle w:val="aff5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:rsidR="00A7124C" w:rsidRDefault="00D138DA">
          <w:pPr>
            <w:tabs>
              <w:tab w:val="right" w:leader="dot" w:pos="10195"/>
            </w:tabs>
            <w:spacing w:line="276" w:lineRule="auto"/>
            <w:jc w:val="both"/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19582440" w:tgtFrame="#_Toc11958244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_Toc119582440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A7124C" w:rsidRDefault="00B35059">
          <w:pPr>
            <w:tabs>
              <w:tab w:val="right" w:leader="dot" w:pos="10195"/>
            </w:tabs>
            <w:spacing w:line="276" w:lineRule="auto"/>
            <w:jc w:val="both"/>
          </w:pPr>
          <w:hyperlink w:anchor="_Toc119582441" w:tgtFrame="#_Toc119582441">
            <w:r w:rsidR="00D138DA">
              <w:rPr>
                <w:webHidden/>
              </w:rPr>
              <w:fldChar w:fldCharType="begin"/>
            </w:r>
            <w:r w:rsidR="00D138DA">
              <w:rPr>
                <w:webHidden/>
              </w:rPr>
              <w:instrText>PAGEREF _Toc119582441 \h</w:instrText>
            </w:r>
            <w:r w:rsidR="00D138DA">
              <w:rPr>
                <w:webHidden/>
              </w:rPr>
            </w:r>
            <w:r w:rsidR="00D138DA">
              <w:rPr>
                <w:webHidden/>
              </w:rPr>
              <w:fldChar w:fldCharType="separate"/>
            </w:r>
            <w:r w:rsidR="00D138DA">
              <w:rPr>
                <w:webHidden/>
                <w:sz w:val="28"/>
                <w:szCs w:val="28"/>
              </w:rPr>
              <w:t>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138DA">
              <w:rPr>
                <w:webHidden/>
                <w:sz w:val="28"/>
                <w:szCs w:val="28"/>
              </w:rPr>
              <w:tab/>
              <w:t>3</w:t>
            </w:r>
            <w:r w:rsidR="00D138DA">
              <w:rPr>
                <w:webHidden/>
              </w:rPr>
              <w:fldChar w:fldCharType="end"/>
            </w:r>
          </w:hyperlink>
        </w:p>
        <w:p w:rsidR="00A7124C" w:rsidRDefault="00B35059">
          <w:pPr>
            <w:tabs>
              <w:tab w:val="right" w:leader="dot" w:pos="10195"/>
            </w:tabs>
            <w:spacing w:line="276" w:lineRule="auto"/>
            <w:jc w:val="both"/>
          </w:pPr>
          <w:hyperlink w:anchor="_Toc119582442" w:tgtFrame="#_Toc119582442">
            <w:r w:rsidR="00D138DA">
              <w:rPr>
                <w:webHidden/>
              </w:rPr>
              <w:fldChar w:fldCharType="begin"/>
            </w:r>
            <w:r w:rsidR="00D138DA">
              <w:rPr>
                <w:webHidden/>
              </w:rPr>
              <w:instrText>PAGEREF _Toc119582442 \h</w:instrText>
            </w:r>
            <w:r w:rsidR="00D138DA">
              <w:rPr>
                <w:webHidden/>
              </w:rPr>
            </w:r>
            <w:r w:rsidR="00D138DA">
              <w:rPr>
                <w:webHidden/>
              </w:rPr>
              <w:fldChar w:fldCharType="separate"/>
            </w:r>
            <w:r w:rsidR="00D138DA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D138DA">
              <w:rPr>
                <w:webHidden/>
                <w:sz w:val="28"/>
                <w:szCs w:val="28"/>
              </w:rPr>
              <w:tab/>
              <w:t>5</w:t>
            </w:r>
            <w:r w:rsidR="00D138DA">
              <w:rPr>
                <w:webHidden/>
              </w:rPr>
              <w:fldChar w:fldCharType="end"/>
            </w:r>
          </w:hyperlink>
        </w:p>
        <w:p w:rsidR="00A7124C" w:rsidRDefault="00B35059">
          <w:pPr>
            <w:tabs>
              <w:tab w:val="right" w:leader="dot" w:pos="10195"/>
            </w:tabs>
            <w:spacing w:line="276" w:lineRule="auto"/>
            <w:jc w:val="both"/>
          </w:pPr>
          <w:hyperlink w:anchor="_Toc119582443" w:tgtFrame="#_Toc119582443">
            <w:r w:rsidR="00D138DA">
              <w:rPr>
                <w:webHidden/>
              </w:rPr>
              <w:fldChar w:fldCharType="begin"/>
            </w:r>
            <w:r w:rsidR="00D138DA">
              <w:rPr>
                <w:webHidden/>
              </w:rPr>
              <w:instrText>PAGEREF _Toc119582443 \h</w:instrText>
            </w:r>
            <w:r w:rsidR="00D138DA">
              <w:rPr>
                <w:webHidden/>
              </w:rPr>
            </w:r>
            <w:r w:rsidR="00D138DA">
              <w:rPr>
                <w:webHidden/>
              </w:rPr>
              <w:fldChar w:fldCharType="separate"/>
            </w:r>
            <w:r w:rsidR="00D138DA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138DA">
              <w:rPr>
                <w:webHidden/>
                <w:sz w:val="28"/>
                <w:szCs w:val="28"/>
              </w:rPr>
              <w:tab/>
              <w:t>5</w:t>
            </w:r>
            <w:r w:rsidR="00D138DA">
              <w:rPr>
                <w:webHidden/>
              </w:rPr>
              <w:fldChar w:fldCharType="end"/>
            </w:r>
          </w:hyperlink>
        </w:p>
        <w:p w:rsidR="00A7124C" w:rsidRDefault="00B35059">
          <w:pPr>
            <w:tabs>
              <w:tab w:val="right" w:leader="dot" w:pos="10195"/>
            </w:tabs>
            <w:spacing w:line="276" w:lineRule="auto"/>
            <w:jc w:val="both"/>
          </w:pPr>
          <w:hyperlink w:anchor="_Toc119582444" w:tgtFrame="#_Toc119582444">
            <w:r w:rsidR="00D138DA">
              <w:rPr>
                <w:webHidden/>
              </w:rPr>
              <w:fldChar w:fldCharType="begin"/>
            </w:r>
            <w:r w:rsidR="00D138DA">
              <w:rPr>
                <w:webHidden/>
              </w:rPr>
              <w:instrText>PAGEREF _Toc119582444 \h</w:instrText>
            </w:r>
            <w:r w:rsidR="00D138DA">
              <w:rPr>
                <w:webHidden/>
              </w:rPr>
            </w:r>
            <w:r w:rsidR="00D138DA">
              <w:rPr>
                <w:webHidden/>
              </w:rPr>
              <w:fldChar w:fldCharType="separate"/>
            </w:r>
            <w:r w:rsidR="00D138DA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138DA">
              <w:rPr>
                <w:webHidden/>
                <w:sz w:val="28"/>
                <w:szCs w:val="28"/>
              </w:rPr>
              <w:tab/>
              <w:t>6</w:t>
            </w:r>
            <w:r w:rsidR="00D138DA">
              <w:rPr>
                <w:webHidden/>
              </w:rPr>
              <w:fldChar w:fldCharType="end"/>
            </w:r>
          </w:hyperlink>
        </w:p>
        <w:p w:rsidR="00A7124C" w:rsidRDefault="00B35059">
          <w:pPr>
            <w:pStyle w:val="24"/>
            <w:tabs>
              <w:tab w:val="right" w:leader="dot" w:pos="10195"/>
            </w:tabs>
            <w:spacing w:after="0" w:line="276" w:lineRule="auto"/>
            <w:jc w:val="both"/>
          </w:pPr>
          <w:hyperlink w:anchor="_Toc119582445" w:tgtFrame="#_Toc119582445">
            <w:r w:rsidR="00D138DA">
              <w:rPr>
                <w:webHidden/>
              </w:rPr>
              <w:fldChar w:fldCharType="begin"/>
            </w:r>
            <w:r w:rsidR="00D138DA">
              <w:rPr>
                <w:webHidden/>
              </w:rPr>
              <w:instrText>PAGEREF _Toc119582445 \h</w:instrText>
            </w:r>
            <w:r w:rsidR="00D138DA">
              <w:rPr>
                <w:webHidden/>
              </w:rPr>
            </w:r>
            <w:r w:rsidR="00D138DA">
              <w:rPr>
                <w:webHidden/>
              </w:rPr>
              <w:fldChar w:fldCharType="separate"/>
            </w:r>
            <w:r w:rsidR="00D138DA">
              <w:rPr>
                <w:webHidden/>
                <w:sz w:val="28"/>
                <w:szCs w:val="28"/>
              </w:rPr>
              <w:t>5.1. Содержание дисциплины</w:t>
            </w:r>
            <w:r w:rsidR="00D138DA">
              <w:rPr>
                <w:webHidden/>
                <w:sz w:val="28"/>
                <w:szCs w:val="28"/>
              </w:rPr>
              <w:tab/>
              <w:t>6</w:t>
            </w:r>
            <w:r w:rsidR="00D138DA">
              <w:rPr>
                <w:webHidden/>
              </w:rPr>
              <w:fldChar w:fldCharType="end"/>
            </w:r>
          </w:hyperlink>
        </w:p>
        <w:p w:rsidR="00A7124C" w:rsidRDefault="00B35059">
          <w:pPr>
            <w:pStyle w:val="24"/>
            <w:tabs>
              <w:tab w:val="right" w:leader="dot" w:pos="10195"/>
            </w:tabs>
            <w:spacing w:after="0" w:line="276" w:lineRule="auto"/>
            <w:jc w:val="both"/>
          </w:pPr>
          <w:hyperlink w:anchor="_Toc119582446" w:tgtFrame="#_Toc119582446">
            <w:r w:rsidR="00D138DA">
              <w:rPr>
                <w:webHidden/>
              </w:rPr>
              <w:fldChar w:fldCharType="begin"/>
            </w:r>
            <w:r w:rsidR="00D138DA">
              <w:rPr>
                <w:webHidden/>
              </w:rPr>
              <w:instrText>PAGEREF _Toc119582446 \h</w:instrText>
            </w:r>
            <w:r w:rsidR="00D138DA">
              <w:rPr>
                <w:webHidden/>
              </w:rPr>
            </w:r>
            <w:r w:rsidR="00D138DA">
              <w:rPr>
                <w:webHidden/>
              </w:rPr>
              <w:fldChar w:fldCharType="separate"/>
            </w:r>
            <w:r w:rsidR="00D138DA">
              <w:rPr>
                <w:webHidden/>
                <w:sz w:val="28"/>
                <w:szCs w:val="28"/>
              </w:rPr>
              <w:t>5.2. Учебно-тематический план</w:t>
            </w:r>
            <w:r w:rsidR="00D138DA">
              <w:rPr>
                <w:webHidden/>
                <w:sz w:val="28"/>
                <w:szCs w:val="28"/>
              </w:rPr>
              <w:tab/>
              <w:t>12</w:t>
            </w:r>
            <w:r w:rsidR="00D138DA">
              <w:rPr>
                <w:webHidden/>
              </w:rPr>
              <w:fldChar w:fldCharType="end"/>
            </w:r>
          </w:hyperlink>
        </w:p>
        <w:p w:rsidR="00A7124C" w:rsidRDefault="00B35059">
          <w:pPr>
            <w:pStyle w:val="24"/>
            <w:tabs>
              <w:tab w:val="right" w:leader="dot" w:pos="10195"/>
            </w:tabs>
            <w:spacing w:after="0" w:line="276" w:lineRule="auto"/>
            <w:jc w:val="both"/>
          </w:pPr>
          <w:hyperlink w:anchor="_Toc119582447" w:tgtFrame="#_Toc119582447">
            <w:r w:rsidR="00D138DA">
              <w:rPr>
                <w:webHidden/>
              </w:rPr>
              <w:fldChar w:fldCharType="begin"/>
            </w:r>
            <w:r w:rsidR="00D138DA">
              <w:rPr>
                <w:webHidden/>
              </w:rPr>
              <w:instrText>PAGEREF _Toc119582447 \h</w:instrText>
            </w:r>
            <w:r w:rsidR="00D138DA">
              <w:rPr>
                <w:webHidden/>
              </w:rPr>
            </w:r>
            <w:r w:rsidR="00D138DA">
              <w:rPr>
                <w:webHidden/>
              </w:rPr>
              <w:fldChar w:fldCharType="separate"/>
            </w:r>
            <w:r w:rsidR="00D138DA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D138DA">
              <w:rPr>
                <w:webHidden/>
                <w:sz w:val="28"/>
                <w:szCs w:val="28"/>
              </w:rPr>
              <w:tab/>
              <w:t>13</w:t>
            </w:r>
            <w:r w:rsidR="00D138DA">
              <w:rPr>
                <w:webHidden/>
              </w:rPr>
              <w:fldChar w:fldCharType="end"/>
            </w:r>
          </w:hyperlink>
        </w:p>
        <w:p w:rsidR="00A7124C" w:rsidRDefault="00B35059">
          <w:pPr>
            <w:tabs>
              <w:tab w:val="right" w:leader="dot" w:pos="10195"/>
            </w:tabs>
            <w:spacing w:line="276" w:lineRule="auto"/>
            <w:jc w:val="both"/>
          </w:pPr>
          <w:hyperlink w:anchor="_Toc119582448" w:tgtFrame="#_Toc119582448">
            <w:r w:rsidR="00D138DA">
              <w:rPr>
                <w:webHidden/>
              </w:rPr>
              <w:fldChar w:fldCharType="begin"/>
            </w:r>
            <w:r w:rsidR="00D138DA">
              <w:rPr>
                <w:webHidden/>
              </w:rPr>
              <w:instrText>PAGEREF _Toc119582448 \h</w:instrText>
            </w:r>
            <w:r w:rsidR="00D138DA">
              <w:rPr>
                <w:webHidden/>
              </w:rPr>
            </w:r>
            <w:r w:rsidR="00D138DA">
              <w:rPr>
                <w:webHidden/>
              </w:rPr>
              <w:fldChar w:fldCharType="separate"/>
            </w:r>
            <w:r w:rsidR="00D138DA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138DA">
              <w:rPr>
                <w:webHidden/>
                <w:sz w:val="28"/>
                <w:szCs w:val="28"/>
              </w:rPr>
              <w:tab/>
              <w:t>17</w:t>
            </w:r>
            <w:r w:rsidR="00D138DA">
              <w:rPr>
                <w:webHidden/>
              </w:rPr>
              <w:fldChar w:fldCharType="end"/>
            </w:r>
          </w:hyperlink>
        </w:p>
        <w:p w:rsidR="00A7124C" w:rsidRDefault="00B35059">
          <w:pPr>
            <w:pStyle w:val="24"/>
            <w:tabs>
              <w:tab w:val="right" w:leader="dot" w:pos="10195"/>
            </w:tabs>
            <w:spacing w:after="0" w:line="276" w:lineRule="auto"/>
            <w:jc w:val="both"/>
          </w:pPr>
          <w:hyperlink w:anchor="_Toc119582449" w:tgtFrame="#_Toc119582449">
            <w:r w:rsidR="00D138DA">
              <w:rPr>
                <w:webHidden/>
              </w:rPr>
              <w:fldChar w:fldCharType="begin"/>
            </w:r>
            <w:r w:rsidR="00D138DA">
              <w:rPr>
                <w:webHidden/>
              </w:rPr>
              <w:instrText>PAGEREF _Toc119582449 \h</w:instrText>
            </w:r>
            <w:r w:rsidR="00D138DA">
              <w:rPr>
                <w:webHidden/>
              </w:rPr>
            </w:r>
            <w:r w:rsidR="00D138DA">
              <w:rPr>
                <w:webHidden/>
              </w:rPr>
              <w:fldChar w:fldCharType="separate"/>
            </w:r>
            <w:r w:rsidR="00D138DA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138DA">
              <w:rPr>
                <w:webHidden/>
                <w:sz w:val="28"/>
                <w:szCs w:val="28"/>
              </w:rPr>
              <w:tab/>
              <w:t>17</w:t>
            </w:r>
            <w:r w:rsidR="00D138DA">
              <w:rPr>
                <w:webHidden/>
              </w:rPr>
              <w:fldChar w:fldCharType="end"/>
            </w:r>
          </w:hyperlink>
        </w:p>
        <w:p w:rsidR="00A7124C" w:rsidRDefault="00B35059">
          <w:pPr>
            <w:pStyle w:val="24"/>
            <w:tabs>
              <w:tab w:val="right" w:leader="dot" w:pos="10195"/>
            </w:tabs>
            <w:spacing w:after="0" w:line="276" w:lineRule="auto"/>
            <w:jc w:val="both"/>
          </w:pPr>
          <w:hyperlink w:anchor="_Toc119582450" w:tgtFrame="#_Toc119582450">
            <w:r w:rsidR="00D138DA">
              <w:rPr>
                <w:webHidden/>
              </w:rPr>
              <w:fldChar w:fldCharType="begin"/>
            </w:r>
            <w:r w:rsidR="00D138DA">
              <w:rPr>
                <w:webHidden/>
              </w:rPr>
              <w:instrText>PAGEREF _Toc119582450 \h</w:instrText>
            </w:r>
            <w:r w:rsidR="00D138DA">
              <w:rPr>
                <w:webHidden/>
              </w:rPr>
            </w:r>
            <w:r w:rsidR="00D138DA">
              <w:rPr>
                <w:webHidden/>
              </w:rPr>
              <w:fldChar w:fldCharType="separate"/>
            </w:r>
            <w:r w:rsidR="00D138DA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D138DA">
              <w:rPr>
                <w:webHidden/>
                <w:sz w:val="28"/>
                <w:szCs w:val="28"/>
              </w:rPr>
              <w:tab/>
              <w:t>18</w:t>
            </w:r>
            <w:r w:rsidR="00D138DA">
              <w:rPr>
                <w:webHidden/>
              </w:rPr>
              <w:fldChar w:fldCharType="end"/>
            </w:r>
          </w:hyperlink>
        </w:p>
        <w:p w:rsidR="00A7124C" w:rsidRDefault="00B35059">
          <w:pPr>
            <w:tabs>
              <w:tab w:val="right" w:leader="dot" w:pos="10195"/>
            </w:tabs>
            <w:spacing w:line="276" w:lineRule="auto"/>
            <w:jc w:val="both"/>
          </w:pPr>
          <w:hyperlink w:anchor="_Toc119582451" w:tgtFrame="#_Toc119582451">
            <w:r w:rsidR="00D138DA">
              <w:rPr>
                <w:webHidden/>
              </w:rPr>
              <w:fldChar w:fldCharType="begin"/>
            </w:r>
            <w:r w:rsidR="00D138DA">
              <w:rPr>
                <w:webHidden/>
              </w:rPr>
              <w:instrText>PAGEREF _Toc119582451 \h</w:instrText>
            </w:r>
            <w:r w:rsidR="00D138DA">
              <w:rPr>
                <w:webHidden/>
              </w:rPr>
            </w:r>
            <w:r w:rsidR="00D138DA">
              <w:rPr>
                <w:webHidden/>
              </w:rPr>
              <w:fldChar w:fldCharType="separate"/>
            </w:r>
            <w:r w:rsidR="00D138DA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D138DA">
              <w:rPr>
                <w:webHidden/>
                <w:sz w:val="28"/>
                <w:szCs w:val="28"/>
              </w:rPr>
              <w:tab/>
              <w:t>22</w:t>
            </w:r>
            <w:r w:rsidR="00D138DA">
              <w:rPr>
                <w:webHidden/>
              </w:rPr>
              <w:fldChar w:fldCharType="end"/>
            </w:r>
          </w:hyperlink>
        </w:p>
        <w:p w:rsidR="00A7124C" w:rsidRDefault="00B35059">
          <w:pPr>
            <w:tabs>
              <w:tab w:val="right" w:leader="dot" w:pos="10195"/>
            </w:tabs>
            <w:spacing w:line="276" w:lineRule="auto"/>
            <w:jc w:val="both"/>
          </w:pPr>
          <w:hyperlink w:anchor="_Toc119582452" w:tgtFrame="#_Toc119582452">
            <w:r w:rsidR="00D138DA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138DA">
              <w:rPr>
                <w:webHidden/>
                <w:sz w:val="28"/>
                <w:szCs w:val="28"/>
              </w:rPr>
              <w:tab/>
            </w:r>
          </w:hyperlink>
          <w:r w:rsidR="00D138DA">
            <w:rPr>
              <w:rFonts w:eastAsiaTheme="minorEastAsia" w:cstheme="minorBidi"/>
              <w:sz w:val="28"/>
              <w:szCs w:val="28"/>
            </w:rPr>
            <w:t>32</w:t>
          </w:r>
        </w:p>
        <w:p w:rsidR="00A7124C" w:rsidRDefault="00B35059">
          <w:pPr>
            <w:tabs>
              <w:tab w:val="right" w:leader="dot" w:pos="10195"/>
            </w:tabs>
            <w:spacing w:line="276" w:lineRule="auto"/>
            <w:jc w:val="both"/>
          </w:pPr>
          <w:hyperlink w:anchor="_Toc119582453" w:tgtFrame="#_Toc119582453">
            <w:r w:rsidR="00D138DA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138DA">
              <w:rPr>
                <w:webHidden/>
                <w:sz w:val="28"/>
                <w:szCs w:val="28"/>
              </w:rPr>
              <w:tab/>
              <w:t>3</w:t>
            </w:r>
          </w:hyperlink>
          <w:r w:rsidR="00D138DA">
            <w:rPr>
              <w:rFonts w:eastAsiaTheme="minorEastAsia" w:cstheme="minorBidi"/>
              <w:sz w:val="28"/>
              <w:szCs w:val="28"/>
            </w:rPr>
            <w:t>3</w:t>
          </w:r>
        </w:p>
        <w:p w:rsidR="00A7124C" w:rsidRDefault="00B35059">
          <w:pPr>
            <w:tabs>
              <w:tab w:val="right" w:leader="dot" w:pos="10195"/>
            </w:tabs>
            <w:spacing w:line="276" w:lineRule="auto"/>
            <w:jc w:val="both"/>
          </w:pPr>
          <w:hyperlink w:anchor="_Toc119582454" w:tgtFrame="#_Toc119582454">
            <w:r w:rsidR="00D138DA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D138DA">
              <w:rPr>
                <w:webHidden/>
                <w:sz w:val="28"/>
                <w:szCs w:val="28"/>
              </w:rPr>
              <w:tab/>
              <w:t>3</w:t>
            </w:r>
          </w:hyperlink>
          <w:r w:rsidR="00D138DA">
            <w:rPr>
              <w:rFonts w:eastAsiaTheme="minorEastAsia" w:cstheme="minorBidi"/>
              <w:sz w:val="28"/>
              <w:szCs w:val="28"/>
            </w:rPr>
            <w:t>4</w:t>
          </w:r>
        </w:p>
        <w:p w:rsidR="00A7124C" w:rsidRDefault="00B35059">
          <w:pPr>
            <w:tabs>
              <w:tab w:val="right" w:leader="dot" w:pos="10195"/>
            </w:tabs>
            <w:spacing w:line="276" w:lineRule="auto"/>
            <w:jc w:val="both"/>
          </w:pPr>
          <w:hyperlink w:anchor="_Toc119582455" w:tgtFrame="#_Toc119582455">
            <w:r w:rsidR="00D138DA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D138DA">
              <w:rPr>
                <w:webHidden/>
                <w:sz w:val="28"/>
                <w:szCs w:val="28"/>
              </w:rPr>
              <w:tab/>
              <w:t>3</w:t>
            </w:r>
          </w:hyperlink>
          <w:r w:rsidR="00D138DA">
            <w:rPr>
              <w:rFonts w:eastAsiaTheme="minorEastAsia" w:cstheme="minorBidi"/>
              <w:sz w:val="28"/>
              <w:szCs w:val="28"/>
            </w:rPr>
            <w:t>4</w:t>
          </w:r>
        </w:p>
        <w:p w:rsidR="00A7124C" w:rsidRDefault="00B35059">
          <w:pPr>
            <w:tabs>
              <w:tab w:val="right" w:leader="dot" w:pos="10195"/>
            </w:tabs>
            <w:spacing w:line="276" w:lineRule="auto"/>
            <w:jc w:val="both"/>
          </w:pPr>
          <w:hyperlink w:anchor="_Toc119582456" w:tgtFrame="#_Toc119582456">
            <w:r w:rsidR="00D138DA">
              <w:rPr>
                <w:rFonts w:eastAsia="Calibri"/>
                <w:bCs/>
                <w:webHidden/>
                <w:sz w:val="28"/>
                <w:szCs w:val="28"/>
              </w:rPr>
              <w:t>11. 1. Комплект лицензионного программного обеспечения:</w:t>
            </w:r>
            <w:r w:rsidR="00D138DA">
              <w:rPr>
                <w:sz w:val="28"/>
                <w:szCs w:val="28"/>
              </w:rPr>
              <w:tab/>
              <w:t>3</w:t>
            </w:r>
          </w:hyperlink>
          <w:r w:rsidR="00D138DA">
            <w:rPr>
              <w:rFonts w:eastAsiaTheme="minorEastAsia" w:cstheme="minorBidi"/>
              <w:sz w:val="28"/>
              <w:szCs w:val="28"/>
            </w:rPr>
            <w:t>4</w:t>
          </w:r>
        </w:p>
        <w:p w:rsidR="00A7124C" w:rsidRDefault="00B35059">
          <w:pPr>
            <w:tabs>
              <w:tab w:val="right" w:leader="dot" w:pos="10195"/>
            </w:tabs>
            <w:spacing w:line="276" w:lineRule="auto"/>
            <w:jc w:val="both"/>
          </w:pPr>
          <w:hyperlink w:anchor="_Toc119582457" w:tgtFrame="#_Toc119582457">
            <w:r w:rsidR="00D138DA">
              <w:rPr>
                <w:rFonts w:eastAsia="Calibri"/>
                <w:bCs/>
                <w:webHidden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D138DA">
              <w:rPr>
                <w:webHidden/>
              </w:rPr>
              <w:fldChar w:fldCharType="begin"/>
            </w:r>
            <w:r w:rsidR="00D138DA">
              <w:rPr>
                <w:webHidden/>
              </w:rPr>
              <w:instrText>PAGEREF _Toc119582457 \h</w:instrText>
            </w:r>
            <w:r w:rsidR="00D138DA">
              <w:rPr>
                <w:webHidden/>
              </w:rPr>
            </w:r>
            <w:r w:rsidR="00D138DA">
              <w:rPr>
                <w:webHidden/>
              </w:rPr>
              <w:fldChar w:fldCharType="separate"/>
            </w:r>
            <w:r w:rsidR="00D138DA">
              <w:rPr>
                <w:sz w:val="28"/>
                <w:szCs w:val="28"/>
              </w:rPr>
              <w:tab/>
              <w:t>35</w:t>
            </w:r>
            <w:r w:rsidR="00D138DA">
              <w:rPr>
                <w:webHidden/>
              </w:rPr>
              <w:fldChar w:fldCharType="end"/>
            </w:r>
          </w:hyperlink>
        </w:p>
        <w:p w:rsidR="00A7124C" w:rsidRDefault="00B35059">
          <w:pPr>
            <w:tabs>
              <w:tab w:val="right" w:leader="dot" w:pos="10195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9582458" w:tgtFrame="#_Toc119582458">
            <w:r w:rsidR="00D138DA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138DA">
              <w:rPr>
                <w:webHidden/>
                <w:sz w:val="28"/>
                <w:szCs w:val="28"/>
              </w:rPr>
              <w:tab/>
            </w:r>
            <w:r w:rsidR="00D138DA">
              <w:rPr>
                <w:sz w:val="28"/>
                <w:szCs w:val="28"/>
              </w:rPr>
              <w:t>3</w:t>
            </w:r>
          </w:hyperlink>
          <w:r w:rsidR="00D138DA">
            <w:rPr>
              <w:rFonts w:eastAsiaTheme="minorEastAsia" w:cstheme="minorBidi"/>
              <w:sz w:val="28"/>
              <w:szCs w:val="28"/>
            </w:rPr>
            <w:t>5</w:t>
          </w:r>
        </w:p>
        <w:p w:rsidR="00A7124C" w:rsidRDefault="00D138DA">
          <w:pPr>
            <w:jc w:val="both"/>
            <w:rPr>
              <w:rFonts w:eastAsiaTheme="minorHAnsi"/>
              <w:sz w:val="28"/>
              <w:szCs w:val="28"/>
              <w:lang w:eastAsia="en-US"/>
            </w:rPr>
          </w:pPr>
          <w:r>
            <w:rPr>
              <w:rFonts w:eastAsia="Calibri"/>
              <w:sz w:val="28"/>
              <w:szCs w:val="28"/>
              <w:lang w:eastAsia="en-US"/>
            </w:rPr>
            <w:fldChar w:fldCharType="end"/>
          </w:r>
        </w:p>
        <w:p w:rsidR="00A7124C" w:rsidRDefault="00B35059">
          <w:pPr>
            <w:sectPr w:rsidR="00A7124C">
              <w:footerReference w:type="default" r:id="rId8"/>
              <w:pgSz w:w="11906" w:h="16838"/>
              <w:pgMar w:top="1134" w:right="567" w:bottom="1134" w:left="1134" w:header="0" w:footer="709" w:gutter="0"/>
              <w:cols w:space="720"/>
              <w:formProt w:val="0"/>
              <w:docGrid w:linePitch="360"/>
            </w:sectPr>
          </w:pPr>
        </w:p>
      </w:sdtContent>
    </w:sdt>
    <w:p w:rsidR="00A7124C" w:rsidRDefault="00D138DA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" w:name="_Toc119582440"/>
      <w:r>
        <w:rPr>
          <w:rFonts w:ascii="Times New Roman" w:hAnsi="Times New Roman" w:cs="Times New Roman"/>
          <w:bCs w:val="0"/>
          <w:color w:val="auto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Cs w:val="0"/>
          <w:color w:val="auto"/>
        </w:rPr>
        <w:t xml:space="preserve"> </w:t>
      </w:r>
    </w:p>
    <w:p w:rsidR="00A7124C" w:rsidRDefault="00D138DA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«Банковские кризисы и а</w:t>
      </w:r>
      <w:r>
        <w:rPr>
          <w:rFonts w:eastAsiaTheme="minorHAnsi"/>
          <w:sz w:val="28"/>
          <w:szCs w:val="28"/>
          <w:lang w:eastAsia="en-US"/>
        </w:rPr>
        <w:t>нтикризисное управление</w:t>
      </w:r>
      <w:r>
        <w:rPr>
          <w:sz w:val="28"/>
          <w:szCs w:val="28"/>
        </w:rPr>
        <w:t xml:space="preserve">». </w:t>
      </w:r>
    </w:p>
    <w:p w:rsidR="00A7124C" w:rsidRDefault="00A7124C">
      <w:pPr>
        <w:keepNext/>
        <w:spacing w:line="360" w:lineRule="auto"/>
        <w:rPr>
          <w:b/>
          <w:sz w:val="28"/>
          <w:szCs w:val="28"/>
        </w:rPr>
      </w:pPr>
    </w:p>
    <w:p w:rsidR="00A7124C" w:rsidRDefault="00D138DA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2" w:name="_Toc119582441"/>
      <w:r>
        <w:rPr>
          <w:rFonts w:ascii="Times New Roman" w:hAnsi="Times New Roman" w:cs="Times New Roman"/>
          <w:bCs w:val="0"/>
          <w:color w:val="auto"/>
        </w:rPr>
        <w:t>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A7124C" w:rsidRDefault="00A7124C">
      <w:pPr>
        <w:widowControl/>
        <w:jc w:val="both"/>
        <w:rPr>
          <w:sz w:val="28"/>
          <w:szCs w:val="28"/>
        </w:rPr>
      </w:pPr>
    </w:p>
    <w:tbl>
      <w:tblPr>
        <w:tblStyle w:val="aff7"/>
        <w:tblW w:w="10201" w:type="dxa"/>
        <w:tblLayout w:type="fixed"/>
        <w:tblLook w:val="04A0" w:firstRow="1" w:lastRow="0" w:firstColumn="1" w:lastColumn="0" w:noHBand="0" w:noVBand="1"/>
      </w:tblPr>
      <w:tblGrid>
        <w:gridCol w:w="845"/>
        <w:gridCol w:w="3121"/>
        <w:gridCol w:w="3117"/>
        <w:gridCol w:w="3118"/>
      </w:tblGrid>
      <w:tr w:rsidR="00A7124C">
        <w:tc>
          <w:tcPr>
            <w:tcW w:w="844" w:type="dxa"/>
          </w:tcPr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ком-пете-нции</w:t>
            </w:r>
          </w:p>
        </w:tc>
        <w:tc>
          <w:tcPr>
            <w:tcW w:w="3121" w:type="dxa"/>
          </w:tcPr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117" w:type="dxa"/>
          </w:tcPr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118" w:type="dxa"/>
          </w:tcPr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7124C">
        <w:tc>
          <w:tcPr>
            <w:tcW w:w="844" w:type="dxa"/>
          </w:tcPr>
          <w:p w:rsidR="00A7124C" w:rsidRDefault="00D138DA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ПКН-4</w:t>
            </w:r>
          </w:p>
        </w:tc>
        <w:tc>
          <w:tcPr>
            <w:tcW w:w="3121" w:type="dxa"/>
          </w:tcPr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3117" w:type="dxa"/>
          </w:tcPr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118" w:type="dxa"/>
          </w:tcPr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индикаторы-предвестники банковского кризиса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причины превращения банка в финансовой неустойчивый (проблемный);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основные принципы финансового оздоровления банка;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находить и обобщать информацию, необходимую для проведения анализа и оценки финансового состояния и выявления потенциально проблемного банка;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A7124C" w:rsidRDefault="00D138D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современные методы решения проблемы слабого банка (в т.ч. методы санации);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существующие способы передачи плохих активов с баланса проблемного банка;</w:t>
            </w:r>
          </w:p>
          <w:p w:rsidR="00A7124C" w:rsidRDefault="00D138D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выбирать наиболее оптимальный способ решения проблемы слабого банка;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проводить оценку эффективности процедур конкурсного производства и санации слабого банка.</w:t>
            </w:r>
          </w:p>
          <w:p w:rsidR="00A7124C" w:rsidRDefault="00A7124C">
            <w:pPr>
              <w:jc w:val="both"/>
              <w:rPr>
                <w:sz w:val="22"/>
                <w:szCs w:val="22"/>
              </w:rPr>
            </w:pPr>
          </w:p>
        </w:tc>
      </w:tr>
      <w:tr w:rsidR="00A7124C">
        <w:tc>
          <w:tcPr>
            <w:tcW w:w="844" w:type="dxa"/>
          </w:tcPr>
          <w:p w:rsidR="00A7124C" w:rsidRDefault="00D138DA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</w:t>
            </w:r>
          </w:p>
        </w:tc>
        <w:tc>
          <w:tcPr>
            <w:tcW w:w="3121" w:type="dxa"/>
          </w:tcPr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осуществлять процессы управления финансовыми рисками в институтах банковского сектора, в том числе, в чрезвычайной ситуации, </w:t>
            </w:r>
            <w:r>
              <w:rPr>
                <w:sz w:val="22"/>
                <w:szCs w:val="22"/>
              </w:rPr>
              <w:lastRenderedPageBreak/>
              <w:t xml:space="preserve">антикризисного управления, использовать финансовую аналитику и современные технологии управления  </w:t>
            </w:r>
          </w:p>
        </w:tc>
        <w:tc>
          <w:tcPr>
            <w:tcW w:w="3117" w:type="dxa"/>
          </w:tcPr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  <w:r>
              <w:rPr>
                <w:sz w:val="22"/>
                <w:szCs w:val="22"/>
              </w:rPr>
              <w:tab/>
              <w:t>Реализует процессы управления рисками участников финансового рынка, в том числе, в разных экономических условиях.</w:t>
            </w: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>Использует современные методы оценки финансовых и нефинансовых рисков, их ограничения, обосновывает выбор инструментов хеджирования рисков.</w:t>
            </w:r>
          </w:p>
        </w:tc>
        <w:tc>
          <w:tcPr>
            <w:tcW w:w="3118" w:type="dxa"/>
          </w:tcPr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</w:p>
          <w:p w:rsidR="00A7124C" w:rsidRDefault="00D138D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принципы организации антикризисного управления в коммерческих банках;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особенности методов и </w:t>
            </w:r>
            <w:r>
              <w:rPr>
                <w:sz w:val="22"/>
                <w:szCs w:val="22"/>
              </w:rPr>
              <w:lastRenderedPageBreak/>
              <w:t xml:space="preserve">инструментов осуществления антикризисного управления в коммерческих банках; 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подходы регуляторного органа при обнаружении кризисных явлений в коммерческих банках и его реакцию на предпринимаемые ими меры по их устранению. </w:t>
            </w:r>
          </w:p>
          <w:p w:rsidR="00A7124C" w:rsidRDefault="00D138D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оценивать признаки раннего обнаружения кризисных явлений;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классифицировать финансовые риски по степени их влияния на кризисную ситуацию;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предлагать меры и инструменты антикризисного управления.</w:t>
            </w:r>
          </w:p>
          <w:p w:rsidR="00A7124C" w:rsidRDefault="00A7124C">
            <w:pPr>
              <w:rPr>
                <w:i/>
                <w:sz w:val="22"/>
                <w:szCs w:val="22"/>
              </w:rPr>
            </w:pPr>
          </w:p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A7124C" w:rsidRDefault="00D138D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особенности современных методов оценки коммерческими банками рисков, создающих кризисные ситуации;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принципы анализа эффективности антикризисных мер при их выборе. </w:t>
            </w:r>
          </w:p>
          <w:p w:rsidR="00A7124C" w:rsidRDefault="00D138D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применять инструменты антикризисного управления в зависимости от степени выявления кризисных факторов;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предлагать конкретные меры при разработке стратегии антикризисного управления.</w:t>
            </w:r>
          </w:p>
        </w:tc>
      </w:tr>
      <w:tr w:rsidR="00A7124C">
        <w:tc>
          <w:tcPr>
            <w:tcW w:w="844" w:type="dxa"/>
          </w:tcPr>
          <w:p w:rsidR="00A7124C" w:rsidRDefault="00D138DA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ПК-2</w:t>
            </w:r>
          </w:p>
        </w:tc>
        <w:tc>
          <w:tcPr>
            <w:tcW w:w="3121" w:type="dxa"/>
          </w:tcPr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определять и декомпозировать цели и задачи подразделения – «Блок риски» в соответствии со стратегическими целями банка</w:t>
            </w:r>
          </w:p>
        </w:tc>
        <w:tc>
          <w:tcPr>
            <w:tcW w:w="3117" w:type="dxa"/>
          </w:tcPr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</w:t>
            </w: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  <w:r>
              <w:rPr>
                <w:sz w:val="22"/>
                <w:szCs w:val="22"/>
              </w:rPr>
              <w:tab/>
              <w:t>Обосновывает допустимый, пороговый уровень риска для стратегического уровня и его декомпозиция в разрезе отдельных видов и зон риска.</w:t>
            </w: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Осуществляет оценку рисковых ситуаций, тестирует и верифицирует методики оценки уровня (пороговых значений, условных зон) рисков в разрезе отдельных видов.</w:t>
            </w:r>
          </w:p>
        </w:tc>
        <w:tc>
          <w:tcPr>
            <w:tcW w:w="3118" w:type="dxa"/>
          </w:tcPr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- содержание основных моделей раннего выявления банковского кризиса;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 интерпретировать результаты вычисления прогнозных показателей деятельности банка и предлагать меры для их корректировки;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объяснять значения и динамику сводных опережающих индикаторов банковского кризиса и иных индикаторов финансового стресса;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2. 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- основные методы оценки различных банковских рисков и факторы банковского кризиса;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</w:t>
            </w:r>
            <w:r>
              <w:rPr>
                <w:sz w:val="22"/>
                <w:szCs w:val="22"/>
              </w:rPr>
              <w:tab/>
              <w:t>правильно объяснять, оценивать значения индикаторов финансового состояния банка.</w:t>
            </w:r>
          </w:p>
          <w:p w:rsidR="00A7124C" w:rsidRDefault="00A7124C">
            <w:pPr>
              <w:jc w:val="both"/>
              <w:rPr>
                <w:sz w:val="22"/>
                <w:szCs w:val="22"/>
              </w:rPr>
            </w:pP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- возможности применения различных способов минимизации и страхования рисков;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 использовать материалы экспертных и аналитических институтов, исследующих процессы формирования кризисов с целью оценки вероятности реализации кризисного явления.</w:t>
            </w:r>
          </w:p>
          <w:p w:rsidR="00A7124C" w:rsidRDefault="00A7124C">
            <w:pPr>
              <w:jc w:val="both"/>
              <w:rPr>
                <w:sz w:val="22"/>
                <w:szCs w:val="22"/>
              </w:rPr>
            </w:pPr>
          </w:p>
        </w:tc>
      </w:tr>
    </w:tbl>
    <w:p w:rsidR="00A7124C" w:rsidRDefault="00A7124C">
      <w:pPr>
        <w:jc w:val="both"/>
        <w:rPr>
          <w:b/>
          <w:bCs/>
          <w:sz w:val="28"/>
          <w:szCs w:val="28"/>
        </w:rPr>
      </w:pPr>
    </w:p>
    <w:p w:rsidR="00A7124C" w:rsidRDefault="00A7124C">
      <w:pPr>
        <w:spacing w:line="360" w:lineRule="auto"/>
        <w:jc w:val="both"/>
        <w:rPr>
          <w:b/>
          <w:bCs/>
          <w:sz w:val="28"/>
          <w:szCs w:val="28"/>
        </w:rPr>
      </w:pPr>
    </w:p>
    <w:p w:rsidR="00A7124C" w:rsidRDefault="00D138DA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3" w:name="_Toc119582442"/>
      <w:r>
        <w:rPr>
          <w:rFonts w:ascii="Times New Roman" w:hAnsi="Times New Roman" w:cs="Times New Roman"/>
          <w:bCs w:val="0"/>
          <w:color w:val="auto"/>
        </w:rPr>
        <w:t>3. Место дисциплины в структуре образовательной программы</w:t>
      </w:r>
      <w:bookmarkEnd w:id="3"/>
    </w:p>
    <w:p w:rsidR="00A7124C" w:rsidRDefault="00D138D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Дисциплина «Банковские кризисы и а</w:t>
      </w:r>
      <w:r>
        <w:rPr>
          <w:rFonts w:eastAsiaTheme="minorHAnsi"/>
          <w:sz w:val="28"/>
          <w:szCs w:val="28"/>
          <w:lang w:eastAsia="en-US"/>
        </w:rPr>
        <w:t>нтикризисное управление</w:t>
      </w:r>
      <w:r>
        <w:rPr>
          <w:sz w:val="28"/>
          <w:szCs w:val="28"/>
        </w:rPr>
        <w:t xml:space="preserve">» относится к модулю направленности программы магистратуры </w:t>
      </w:r>
      <w:r>
        <w:rPr>
          <w:rFonts w:eastAsiaTheme="minorHAnsi"/>
          <w:sz w:val="28"/>
          <w:szCs w:val="28"/>
          <w:lang w:eastAsia="en-US"/>
        </w:rPr>
        <w:t>«Управление финансовыми рисками: прикладная аналитика и технологии в банках»</w:t>
      </w:r>
      <w:r>
        <w:rPr>
          <w:sz w:val="28"/>
          <w:szCs w:val="28"/>
        </w:rPr>
        <w:t>.</w:t>
      </w:r>
    </w:p>
    <w:p w:rsidR="00A7124C" w:rsidRDefault="00A7124C">
      <w:pPr>
        <w:widowControl/>
        <w:spacing w:line="360" w:lineRule="auto"/>
        <w:jc w:val="both"/>
        <w:rPr>
          <w:sz w:val="28"/>
          <w:szCs w:val="28"/>
        </w:rPr>
      </w:pPr>
    </w:p>
    <w:p w:rsidR="00A7124C" w:rsidRDefault="00D138DA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4" w:name="_Toc119582443"/>
      <w:r>
        <w:rPr>
          <w:rFonts w:ascii="Times New Roman" w:hAnsi="Times New Roman" w:cs="Times New Roman"/>
          <w:bCs w:val="0"/>
          <w:color w:val="auto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rFonts w:ascii="Times New Roman" w:hAnsi="Times New Roman" w:cs="Times New Roman"/>
          <w:bCs w:val="0"/>
          <w:color w:val="auto"/>
        </w:rPr>
        <w:t xml:space="preserve"> </w:t>
      </w:r>
    </w:p>
    <w:p w:rsidR="00A7124C" w:rsidRDefault="00D138DA">
      <w:pPr>
        <w:widowControl/>
        <w:spacing w:line="360" w:lineRule="auto"/>
        <w:ind w:left="778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1  </w:t>
      </w:r>
    </w:p>
    <w:p w:rsidR="00A7124C" w:rsidRDefault="00A7124C">
      <w:pPr>
        <w:jc w:val="both"/>
        <w:rPr>
          <w:b/>
          <w:bCs/>
          <w:color w:val="00B050"/>
          <w:sz w:val="28"/>
          <w:szCs w:val="28"/>
        </w:rPr>
      </w:pPr>
    </w:p>
    <w:tbl>
      <w:tblPr>
        <w:tblW w:w="4700" w:type="pct"/>
        <w:tblLayout w:type="fixed"/>
        <w:tblLook w:val="04A0" w:firstRow="1" w:lastRow="0" w:firstColumn="1" w:lastColumn="0" w:noHBand="0" w:noVBand="1"/>
      </w:tblPr>
      <w:tblGrid>
        <w:gridCol w:w="5579"/>
        <w:gridCol w:w="1748"/>
        <w:gridCol w:w="2256"/>
      </w:tblGrid>
      <w:tr w:rsidR="00A7124C"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A7124C" w:rsidRDefault="00D138DA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3</w:t>
            </w:r>
          </w:p>
          <w:p w:rsidR="00A7124C" w:rsidRDefault="00D138DA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A7124C"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A7124C"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A7124C"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7124C"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7124C"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A7124C"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Эссе 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Эссе </w:t>
            </w:r>
          </w:p>
        </w:tc>
      </w:tr>
      <w:tr w:rsidR="00A7124C"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A7124C" w:rsidRDefault="00A7124C">
      <w:pPr>
        <w:jc w:val="both"/>
        <w:rPr>
          <w:b/>
          <w:bCs/>
          <w:color w:val="00B050"/>
          <w:sz w:val="28"/>
          <w:szCs w:val="28"/>
        </w:rPr>
      </w:pPr>
    </w:p>
    <w:p w:rsidR="00A7124C" w:rsidRDefault="00D138DA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5" w:name="_Toc119582444"/>
      <w:r>
        <w:rPr>
          <w:rFonts w:ascii="Times New Roman" w:hAnsi="Times New Roman" w:cs="Times New Roman"/>
          <w:bCs w:val="0"/>
          <w:color w:val="auto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A7124C" w:rsidRDefault="00D138DA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6" w:name="_Toc119582445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5.1. Содержание дисциплины</w:t>
      </w:r>
      <w:bookmarkEnd w:id="6"/>
    </w:p>
    <w:p w:rsidR="00A7124C" w:rsidRDefault="00A7124C">
      <w:pPr>
        <w:pStyle w:val="aff3"/>
        <w:shd w:val="clear" w:color="auto" w:fill="FFFFFF"/>
        <w:spacing w:line="360" w:lineRule="auto"/>
        <w:ind w:firstLine="709"/>
        <w:jc w:val="both"/>
        <w:rPr>
          <w:rFonts w:eastAsiaTheme="minorHAnsi"/>
          <w:bCs/>
          <w:color w:val="FF0000"/>
          <w:sz w:val="28"/>
          <w:szCs w:val="28"/>
          <w:lang w:eastAsia="en-US"/>
        </w:rPr>
      </w:pPr>
    </w:p>
    <w:p w:rsidR="00A7124C" w:rsidRDefault="00D138DA">
      <w:pPr>
        <w:pStyle w:val="aff3"/>
        <w:shd w:val="clear" w:color="auto" w:fill="FFFFFF"/>
        <w:spacing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Тема 1. Кризис в банке и банковском секторе: понятия, причины, индикаторы проблем и модели антикризисного управления.</w:t>
      </w:r>
    </w:p>
    <w:p w:rsidR="00A7124C" w:rsidRDefault="00D138DA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 xml:space="preserve">Понятие и экономическая природа банковского кризиса. Классификация банковских кризисов. </w:t>
      </w:r>
    </w:p>
    <w:p w:rsidR="00A7124C" w:rsidRDefault="00D138DA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Причины, факторы и индикаторы кризисных явлений в банковском секторе. Макро- и микроэкономические подходы к объяснению причин банковского кризиса.</w:t>
      </w:r>
    </w:p>
    <w:p w:rsidR="00A7124C" w:rsidRDefault="00D138DA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 xml:space="preserve">Содержание индикаторов кризисных явлений банковской системы. </w:t>
      </w:r>
    </w:p>
    <w:p w:rsidR="00A7124C" w:rsidRDefault="00D138DA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Система раннего предупреждения банковского кризиса: содержание и логика построения, критерии качества и проблемы создания.</w:t>
      </w:r>
    </w:p>
    <w:p w:rsidR="00A7124C" w:rsidRDefault="00D138DA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Группы моделей раннего обнаружения кризиса банковской системы:</w:t>
      </w:r>
    </w:p>
    <w:p w:rsidR="00A7124C" w:rsidRDefault="00D138DA">
      <w:pPr>
        <w:pStyle w:val="Style23"/>
        <w:widowControl/>
        <w:numPr>
          <w:ilvl w:val="0"/>
          <w:numId w:val="15"/>
        </w:numPr>
        <w:spacing w:line="360" w:lineRule="auto"/>
        <w:jc w:val="both"/>
        <w:rPr>
          <w:sz w:val="26"/>
        </w:rPr>
      </w:pPr>
      <w:r>
        <w:rPr>
          <w:sz w:val="26"/>
          <w:szCs w:val="26"/>
        </w:rPr>
        <w:t>Регрессионные модели на</w:t>
      </w:r>
      <w:r>
        <w:rPr>
          <w:sz w:val="26"/>
        </w:rPr>
        <w:t xml:space="preserve"> основе макроэкономических переменных.</w:t>
      </w:r>
    </w:p>
    <w:p w:rsidR="00A7124C" w:rsidRDefault="00D138DA">
      <w:pPr>
        <w:pStyle w:val="Style23"/>
        <w:widowControl/>
        <w:numPr>
          <w:ilvl w:val="0"/>
          <w:numId w:val="15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Сигнальные модели (Рейнхарта-Камински).</w:t>
      </w:r>
    </w:p>
    <w:p w:rsidR="00A7124C" w:rsidRDefault="00D138DA">
      <w:pPr>
        <w:pStyle w:val="Style23"/>
        <w:widowControl/>
        <w:numPr>
          <w:ilvl w:val="0"/>
          <w:numId w:val="15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Модели на основе композитных индексов (кредитный гэп, индикатор циклического системного риска).</w:t>
      </w:r>
    </w:p>
    <w:p w:rsidR="00A7124C" w:rsidRDefault="00D138DA">
      <w:pPr>
        <w:pStyle w:val="Style23"/>
        <w:widowControl/>
        <w:numPr>
          <w:ilvl w:val="0"/>
          <w:numId w:val="15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Регрессионные бинарные модели на основе микроэкономических показателей из финансовой отчетности самих банков (похожи на модели 1-ой группы, но строятся с использованием показателей самих банков). </w:t>
      </w:r>
    </w:p>
    <w:p w:rsidR="00A7124C" w:rsidRDefault="00D138DA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Сводные опережающие индикаторы (СОИ) банковского кризиса и отдельных видов банковских рисков (Центр макроэкономического анализа и краткосрочного прогнозирования).</w:t>
      </w:r>
    </w:p>
    <w:p w:rsidR="00A7124C" w:rsidRDefault="00D138DA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Методы раннего обнаружения кризиса отдельного банка: выбор, расчет и оценка значений финансовых индикаторов, отбор, изучение и анализ неколичественных данных, надзор со стороны центрального банка и/или иного уполномоченного органа власти (оценка бизнес-моделей, практики корпоративного управления и риск-менеджмента), проведение стресс-тестирования.</w:t>
      </w:r>
    </w:p>
    <w:p w:rsidR="00A7124C" w:rsidRDefault="00D138DA">
      <w:pPr>
        <w:pStyle w:val="Style23"/>
        <w:widowControl/>
        <w:spacing w:line="360" w:lineRule="auto"/>
        <w:ind w:firstLine="709"/>
        <w:jc w:val="both"/>
        <w:rPr>
          <w:sz w:val="26"/>
          <w:szCs w:val="26"/>
        </w:rPr>
      </w:pPr>
      <w:r>
        <w:rPr>
          <w:rStyle w:val="FontStyle73"/>
        </w:rPr>
        <w:lastRenderedPageBreak/>
        <w:t>Условия и методы поддержания стабильности в банковском секторе на макро- и микроуровне.</w:t>
      </w:r>
    </w:p>
    <w:p w:rsidR="00A7124C" w:rsidRDefault="00D138DA">
      <w:pPr>
        <w:pStyle w:val="aff3"/>
        <w:shd w:val="clear" w:color="auto" w:fill="FFFFFF"/>
        <w:spacing w:line="360" w:lineRule="auto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Понятие и содержание антикризисного управления в банке. Модели антикризисного управления в банке, их характеристика, достоинства и недостатки. Проактивное и реактивное антикризисное управление банком на микроуровне.</w:t>
      </w:r>
    </w:p>
    <w:p w:rsidR="00A7124C" w:rsidRDefault="00D138DA">
      <w:pPr>
        <w:pStyle w:val="aff3"/>
        <w:shd w:val="clear" w:color="auto" w:fill="FFFFFF"/>
        <w:spacing w:line="360" w:lineRule="auto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Объекты и субъекты антикризисного управления, их характеристика.</w:t>
      </w:r>
    </w:p>
    <w:p w:rsidR="00A7124C" w:rsidRDefault="00D138DA">
      <w:pPr>
        <w:pStyle w:val="aff3"/>
        <w:shd w:val="clear" w:color="auto" w:fill="FFFFFF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EastAsia"/>
          <w:sz w:val="26"/>
          <w:szCs w:val="26"/>
        </w:rPr>
        <w:t>Методы антикризисного управления на макро- (кредиты от банковского регулятора, продажа непрофильных активов, рекапитализация банка, смена руководства банка, национализация или реорганизация банка, др.) и микроуровнях (рационализация деятельности и снижение издержек, реструктуризация структуры баланса, продвижение новых продуктов, др.).</w:t>
      </w:r>
    </w:p>
    <w:p w:rsidR="00A7124C" w:rsidRDefault="00A7124C">
      <w:pPr>
        <w:widowControl/>
        <w:spacing w:line="360" w:lineRule="auto"/>
        <w:jc w:val="both"/>
        <w:rPr>
          <w:rFonts w:eastAsiaTheme="minorHAnsi"/>
          <w:b/>
          <w:sz w:val="28"/>
        </w:rPr>
      </w:pPr>
    </w:p>
    <w:p w:rsidR="00A7124C" w:rsidRDefault="00D138DA">
      <w:pPr>
        <w:spacing w:line="360" w:lineRule="auto"/>
        <w:ind w:firstLine="720"/>
        <w:jc w:val="both"/>
        <w:rPr>
          <w:rFonts w:eastAsiaTheme="minorHAnsi"/>
          <w:b/>
          <w:sz w:val="28"/>
        </w:rPr>
      </w:pPr>
      <w:r>
        <w:rPr>
          <w:rFonts w:eastAsiaTheme="minorHAnsi"/>
          <w:b/>
          <w:sz w:val="28"/>
          <w:szCs w:val="28"/>
          <w:lang w:eastAsia="en-US"/>
        </w:rPr>
        <w:t>Тема 2. Стрессовое тестирование в коммерческом банке</w:t>
      </w:r>
      <w:r>
        <w:rPr>
          <w:rFonts w:eastAsiaTheme="minorHAnsi"/>
          <w:b/>
          <w:sz w:val="28"/>
        </w:rPr>
        <w:t>.</w:t>
      </w:r>
    </w:p>
    <w:p w:rsidR="00A7124C" w:rsidRDefault="00D138D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Понятие </w:t>
      </w:r>
      <w:r>
        <w:rPr>
          <w:sz w:val="28"/>
          <w:szCs w:val="28"/>
        </w:rPr>
        <w:t>стресс-</w:t>
      </w:r>
      <w:r>
        <w:rPr>
          <w:sz w:val="28"/>
        </w:rPr>
        <w:t xml:space="preserve">тестирования. </w:t>
      </w:r>
      <w:r>
        <w:rPr>
          <w:sz w:val="28"/>
          <w:szCs w:val="28"/>
        </w:rPr>
        <w:t xml:space="preserve">Место стресс-тестов в оценке финансовой устойчивости кредитной организации. </w:t>
      </w:r>
      <w:r>
        <w:rPr>
          <w:sz w:val="28"/>
        </w:rPr>
        <w:t>Виды стресс-тестов и их характеристика</w:t>
      </w:r>
      <w:r>
        <w:rPr>
          <w:sz w:val="28"/>
          <w:szCs w:val="28"/>
        </w:rPr>
        <w:t>.</w:t>
      </w:r>
      <w:r>
        <w:rPr>
          <w:sz w:val="28"/>
        </w:rPr>
        <w:t xml:space="preserve"> </w:t>
      </w:r>
      <w:r>
        <w:rPr>
          <w:sz w:val="28"/>
          <w:szCs w:val="28"/>
        </w:rPr>
        <w:t>Этапы</w:t>
      </w:r>
      <w:r>
        <w:rPr>
          <w:sz w:val="28"/>
        </w:rPr>
        <w:t xml:space="preserve"> стресс-тестирования в </w:t>
      </w:r>
      <w:r>
        <w:rPr>
          <w:sz w:val="28"/>
          <w:szCs w:val="28"/>
        </w:rPr>
        <w:t>банке</w:t>
      </w:r>
      <w:r>
        <w:rPr>
          <w:sz w:val="28"/>
        </w:rPr>
        <w:t>.</w:t>
      </w:r>
    </w:p>
    <w:p w:rsidR="00A7124C" w:rsidRDefault="00D138D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Принципы стресс-тестирования в банках, рекомендованные Базельским комитетом по банковскому надзору (2018)</w:t>
      </w:r>
      <w:r>
        <w:rPr>
          <w:rStyle w:val="a9"/>
          <w:sz w:val="28"/>
          <w:szCs w:val="28"/>
        </w:rPr>
        <w:footnoteReference w:id="1"/>
      </w:r>
      <w:r>
        <w:rPr>
          <w:sz w:val="28"/>
          <w:szCs w:val="28"/>
        </w:rPr>
        <w:t>.</w:t>
      </w:r>
    </w:p>
    <w:p w:rsidR="00A7124C" w:rsidRDefault="00D138D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</w:rPr>
        <w:t>Международный опыт стрессового тестирования в кредитных организациях.</w:t>
      </w:r>
      <w:r>
        <w:t xml:space="preserve"> </w:t>
      </w:r>
      <w:r>
        <w:rPr>
          <w:sz w:val="28"/>
        </w:rPr>
        <w:t>Практика стресс-тестирования в ЕС: методика Европейского органа по банковскому надзору (European Banking Authority)</w:t>
      </w:r>
      <w:r>
        <w:rPr>
          <w:rStyle w:val="a9"/>
          <w:sz w:val="28"/>
        </w:rPr>
        <w:footnoteReference w:id="2"/>
      </w:r>
      <w:r>
        <w:rPr>
          <w:sz w:val="28"/>
        </w:rPr>
        <w:t>, результаты стресс-тестирования</w:t>
      </w:r>
      <w:r>
        <w:rPr>
          <w:rStyle w:val="a9"/>
          <w:sz w:val="28"/>
        </w:rPr>
        <w:footnoteReference w:id="3"/>
      </w:r>
      <w:r>
        <w:rPr>
          <w:sz w:val="28"/>
          <w:szCs w:val="28"/>
        </w:rPr>
        <w:t>.</w:t>
      </w:r>
    </w:p>
    <w:p w:rsidR="00A7124C" w:rsidRDefault="00D138D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</w:rPr>
        <w:t>Практика стресс-тестирования Банка России, ее развитие.</w:t>
      </w:r>
      <w:r>
        <w:rPr>
          <w:sz w:val="28"/>
          <w:szCs w:val="28"/>
        </w:rPr>
        <w:t xml:space="preserve"> Методы проведения макропруденциального стресс-тестирования в России «сверху-вниз» (</w:t>
      </w:r>
      <w:r>
        <w:rPr>
          <w:sz w:val="28"/>
          <w:szCs w:val="28"/>
          <w:lang w:val="en-US"/>
        </w:rPr>
        <w:t>top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down</w:t>
      </w:r>
      <w:r>
        <w:rPr>
          <w:sz w:val="28"/>
          <w:szCs w:val="28"/>
        </w:rPr>
        <w:t>) и «</w:t>
      </w:r>
      <w:r>
        <w:rPr>
          <w:sz w:val="28"/>
          <w:szCs w:val="28"/>
          <w:lang w:val="en-US"/>
        </w:rPr>
        <w:t>bottom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up</w:t>
      </w:r>
      <w:r>
        <w:rPr>
          <w:sz w:val="28"/>
          <w:szCs w:val="28"/>
        </w:rPr>
        <w:t>» (снизу-вверх). Результаты стресс-тестирования (по материалам годовых отчетов Банка России)</w:t>
      </w:r>
    </w:p>
    <w:p w:rsidR="00A7124C" w:rsidRDefault="00D138D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Требования Банка России к организации работы банков по стресс-тестированию в рамках внутренних процедур оценки достаточности капитала (ВПОДК) (Указание Банка России № 3624-У).</w:t>
      </w:r>
    </w:p>
    <w:p w:rsidR="00A7124C" w:rsidRDefault="00D138DA">
      <w:pPr>
        <w:spacing w:line="360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 xml:space="preserve"> </w:t>
      </w:r>
    </w:p>
    <w:p w:rsidR="00A7124C" w:rsidRDefault="00D138DA">
      <w:pPr>
        <w:pStyle w:val="aff3"/>
        <w:shd w:val="clear" w:color="auto" w:fill="FFFFFF"/>
        <w:spacing w:line="360" w:lineRule="auto"/>
        <w:ind w:firstLine="709"/>
        <w:jc w:val="both"/>
        <w:rPr>
          <w:rFonts w:eastAsiaTheme="minorHAnsi"/>
          <w:b/>
          <w:sz w:val="28"/>
        </w:rPr>
      </w:pPr>
      <w:r>
        <w:rPr>
          <w:rFonts w:eastAsiaTheme="minorHAnsi"/>
          <w:b/>
          <w:sz w:val="28"/>
          <w:szCs w:val="28"/>
          <w:lang w:eastAsia="en-US"/>
        </w:rPr>
        <w:t>Тема 3. Меры по восстановлению финансовой устойчивости банков</w:t>
      </w:r>
      <w:r>
        <w:rPr>
          <w:rFonts w:eastAsiaTheme="minorHAnsi"/>
          <w:b/>
          <w:sz w:val="28"/>
        </w:rPr>
        <w:t>.</w:t>
      </w:r>
    </w:p>
    <w:p w:rsidR="00A7124C" w:rsidRDefault="00D138DA">
      <w:pPr>
        <w:pStyle w:val="aff3"/>
        <w:shd w:val="clear" w:color="auto" w:fill="FFFFFF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Понятие слабого банка, проблемного банка, финансовой неустойчивого банка.</w:t>
      </w:r>
    </w:p>
    <w:p w:rsidR="00A7124C" w:rsidRDefault="00D138DA">
      <w:pPr>
        <w:pStyle w:val="aff3"/>
        <w:shd w:val="clear" w:color="auto" w:fill="FFFFFF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Подход Банка России к классификации банков по уровню их экономического положения (Указание Банка России № 4336-У). </w:t>
      </w:r>
    </w:p>
    <w:p w:rsidR="00A7124C" w:rsidRDefault="00D138DA">
      <w:pPr>
        <w:pStyle w:val="aff3"/>
        <w:shd w:val="clear" w:color="auto" w:fill="FFFFFF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Причины возникновения слабого банка. Методики раннего выявления слабых банков (эконометрические модели, финансовые и нефинансовые показатели).</w:t>
      </w:r>
    </w:p>
    <w:p w:rsidR="00A7124C" w:rsidRDefault="00D138DA">
      <w:pPr>
        <w:pStyle w:val="aff3"/>
        <w:shd w:val="clear" w:color="auto" w:fill="FFFFFF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Рекомендации Базельского комитета по банковскому надзору (Руководящие принципы по выявлению слабых банков и принятию мер в их отношении, июль 2015) и Международной ассоциации страховщиков депозитов (Общее руководство по раннему выявлению проблемных банков и своевременному вмешательству в их деятельность для систем страхования депозитов, июнь 2013).</w:t>
      </w:r>
    </w:p>
    <w:p w:rsidR="00A7124C" w:rsidRDefault="00D138DA">
      <w:pPr>
        <w:pStyle w:val="aff3"/>
        <w:shd w:val="clear" w:color="auto" w:fill="FFFFFF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Рекомендации Совета по финансовой стабильности «Ключевые атрибуты эффективных режимов финансового оздоровления финансовых институтов»</w:t>
      </w:r>
      <w:r>
        <w:rPr>
          <w:rStyle w:val="a9"/>
          <w:rFonts w:eastAsiaTheme="minorHAnsi"/>
          <w:sz w:val="28"/>
          <w:szCs w:val="28"/>
          <w:lang w:eastAsia="en-US"/>
        </w:rPr>
        <w:footnoteReference w:id="4"/>
      </w:r>
      <w:r>
        <w:rPr>
          <w:rFonts w:eastAsiaTheme="minorHAnsi"/>
          <w:sz w:val="28"/>
          <w:szCs w:val="28"/>
          <w:lang w:eastAsia="en-US"/>
        </w:rPr>
        <w:t xml:space="preserve"> (2014) и последующие за ними регулярные отчеты (Peer Review Report или ежегодный </w:t>
      </w:r>
      <w:r>
        <w:rPr>
          <w:rFonts w:eastAsiaTheme="minorHAnsi"/>
          <w:sz w:val="28"/>
          <w:szCs w:val="28"/>
          <w:lang w:val="en-US" w:eastAsia="en-US"/>
        </w:rPr>
        <w:t>Resolution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Report</w:t>
      </w:r>
      <w:r>
        <w:rPr>
          <w:rFonts w:eastAsiaTheme="minorHAnsi"/>
          <w:sz w:val="28"/>
          <w:szCs w:val="28"/>
          <w:lang w:eastAsia="en-US"/>
        </w:rPr>
        <w:t>) о результатах внедрениях этих рекомендаций странами «Группы 20»</w:t>
      </w:r>
      <w:r>
        <w:rPr>
          <w:rStyle w:val="a9"/>
          <w:rFonts w:eastAsiaTheme="minorHAnsi"/>
          <w:sz w:val="28"/>
          <w:szCs w:val="28"/>
          <w:lang w:eastAsia="en-US"/>
        </w:rPr>
        <w:footnoteReference w:id="5"/>
      </w:r>
      <w:r>
        <w:rPr>
          <w:rFonts w:eastAsiaTheme="minorHAnsi"/>
          <w:sz w:val="28"/>
          <w:szCs w:val="28"/>
          <w:lang w:eastAsia="en-US"/>
        </w:rPr>
        <w:t>. Доклад Совета по финансовой стабильности по итогам значимых банковских банкротств в 2023 году</w:t>
      </w:r>
      <w:r>
        <w:rPr>
          <w:rStyle w:val="a9"/>
          <w:rFonts w:eastAsiaTheme="minorHAnsi"/>
          <w:sz w:val="28"/>
          <w:szCs w:val="28"/>
          <w:lang w:eastAsia="en-US"/>
        </w:rPr>
        <w:footnoteReference w:id="6"/>
      </w:r>
      <w:r>
        <w:rPr>
          <w:rFonts w:eastAsiaTheme="minorHAnsi"/>
          <w:sz w:val="28"/>
          <w:szCs w:val="28"/>
          <w:lang w:eastAsia="en-US"/>
        </w:rPr>
        <w:t xml:space="preserve"> с выводами и разбором примеров (швейцарский банк Credit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Suisse, а также три американских банка </w:t>
      </w:r>
      <w:r>
        <w:rPr>
          <w:rFonts w:eastAsiaTheme="minorHAnsi"/>
          <w:sz w:val="28"/>
          <w:szCs w:val="28"/>
          <w:lang w:val="en-US" w:eastAsia="en-US"/>
        </w:rPr>
        <w:t>Silicon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Valley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Bank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val="en-US" w:eastAsia="en-US"/>
        </w:rPr>
        <w:t>Signature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Bank</w:t>
      </w:r>
      <w:r>
        <w:rPr>
          <w:rFonts w:eastAsiaTheme="minorHAnsi"/>
          <w:sz w:val="28"/>
          <w:szCs w:val="28"/>
          <w:lang w:eastAsia="en-US"/>
        </w:rPr>
        <w:t xml:space="preserve"> и </w:t>
      </w:r>
      <w:r>
        <w:rPr>
          <w:rFonts w:eastAsiaTheme="minorHAnsi"/>
          <w:sz w:val="28"/>
          <w:szCs w:val="28"/>
          <w:lang w:val="en-US" w:eastAsia="en-US"/>
        </w:rPr>
        <w:t>First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Republic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Bank</w:t>
      </w:r>
      <w:r>
        <w:rPr>
          <w:rFonts w:eastAsiaTheme="minorHAnsi"/>
          <w:sz w:val="28"/>
          <w:szCs w:val="28"/>
          <w:lang w:eastAsia="en-US"/>
        </w:rPr>
        <w:t xml:space="preserve">). </w:t>
      </w:r>
    </w:p>
    <w:p w:rsidR="00A7124C" w:rsidRDefault="00D138DA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Рыночные механизмы финансового оздоровления (санации) банков: решение проблем с ликвидностью с помощью рынка МБК или кредитных линий центрального банка, привлечение дополнительного капитала от действующих акционеров или новых стратегических инвесторов, проведение сделки слияния/ поглощения.</w:t>
      </w:r>
    </w:p>
    <w:p w:rsidR="00A7124C" w:rsidRDefault="00D138DA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Нерыночные механизмы санации: продолжение функционирования банка с некоторыми ограничениями в отношении акционеров, менеджмента или деловой активности, продажа части/ всего бизнеса стороннему финансово устойчивому банку в рамках процедуры санации, привлечение банка-санатора с предоставлением последнему финансовой поддержки, ликвидация проблемного банка.</w:t>
      </w:r>
    </w:p>
    <w:p w:rsidR="00A7124C" w:rsidRDefault="00D138DA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Основные механизмы и инструменты финансового оздоровления слабых банков:</w:t>
      </w:r>
    </w:p>
    <w:p w:rsidR="00A7124C" w:rsidRDefault="00D138DA">
      <w:pPr>
        <w:pStyle w:val="Style42"/>
        <w:widowControl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sz w:val="28"/>
        </w:rPr>
        <w:t>с</w:t>
      </w:r>
      <w:r>
        <w:rPr>
          <w:sz w:val="28"/>
          <w:szCs w:val="28"/>
        </w:rPr>
        <w:t>нисходительность регулятора (англ. forbearance);</w:t>
      </w:r>
    </w:p>
    <w:p w:rsidR="00A7124C" w:rsidRDefault="00D138DA">
      <w:pPr>
        <w:pStyle w:val="Style42"/>
        <w:widowControl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sz w:val="28"/>
        </w:rPr>
        <w:t>к</w:t>
      </w:r>
      <w:r>
        <w:rPr>
          <w:sz w:val="28"/>
          <w:szCs w:val="28"/>
        </w:rPr>
        <w:t>апитальные вливания с сохранением менеджмента;</w:t>
      </w:r>
    </w:p>
    <w:p w:rsidR="00A7124C" w:rsidRDefault="00D138DA">
      <w:pPr>
        <w:pStyle w:val="Style42"/>
        <w:widowControl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sz w:val="28"/>
        </w:rPr>
        <w:t>о</w:t>
      </w:r>
      <w:r>
        <w:rPr>
          <w:sz w:val="28"/>
          <w:szCs w:val="28"/>
        </w:rPr>
        <w:t>тстранение менеджмента и прямое управление регулятором;</w:t>
      </w:r>
    </w:p>
    <w:p w:rsidR="00A7124C" w:rsidRDefault="00D138DA">
      <w:pPr>
        <w:pStyle w:val="Style42"/>
        <w:widowControl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sz w:val="28"/>
        </w:rPr>
        <w:t>н</w:t>
      </w:r>
      <w:r>
        <w:rPr>
          <w:sz w:val="28"/>
          <w:szCs w:val="28"/>
        </w:rPr>
        <w:t>ационализация банка;</w:t>
      </w:r>
    </w:p>
    <w:p w:rsidR="00A7124C" w:rsidRDefault="00D138DA">
      <w:pPr>
        <w:pStyle w:val="Style42"/>
        <w:widowControl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sz w:val="28"/>
        </w:rPr>
        <w:t>р</w:t>
      </w:r>
      <w:r>
        <w:rPr>
          <w:sz w:val="28"/>
          <w:szCs w:val="28"/>
        </w:rPr>
        <w:t>азделение на «хороший» и «плохой» банк;</w:t>
      </w:r>
    </w:p>
    <w:p w:rsidR="00A7124C" w:rsidRDefault="00D138DA">
      <w:pPr>
        <w:pStyle w:val="Style42"/>
        <w:widowControl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покупка активов и принятие обязательств (англ. Purchase &amp; Assumption, P&amp;A);</w:t>
      </w:r>
    </w:p>
    <w:p w:rsidR="00A7124C" w:rsidRDefault="00D138DA">
      <w:pPr>
        <w:pStyle w:val="Style42"/>
        <w:widowControl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создание бридж-банка для последующей сделки по его продаже с передачей обязательств (P&amp;A);</w:t>
      </w:r>
    </w:p>
    <w:p w:rsidR="00A7124C" w:rsidRDefault="00D138DA">
      <w:pPr>
        <w:pStyle w:val="Style42"/>
        <w:widowControl/>
        <w:numPr>
          <w:ilvl w:val="0"/>
          <w:numId w:val="18"/>
        </w:numPr>
        <w:spacing w:line="360" w:lineRule="auto"/>
        <w:rPr>
          <w:rStyle w:val="FontStyle73"/>
          <w:sz w:val="28"/>
          <w:szCs w:val="28"/>
        </w:rPr>
      </w:pPr>
      <w:r>
        <w:rPr>
          <w:sz w:val="28"/>
          <w:szCs w:val="28"/>
        </w:rPr>
        <w:t>конвертация обязательств банка в элементы его собственного капитала (bail-in).</w:t>
      </w:r>
    </w:p>
    <w:p w:rsidR="00A7124C" w:rsidRDefault="00D138DA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</w:rPr>
        <w:t xml:space="preserve">Модель оценки расходов на санацию </w:t>
      </w:r>
      <w:r>
        <w:rPr>
          <w:rStyle w:val="FontStyle73"/>
          <w:sz w:val="28"/>
          <w:szCs w:val="28"/>
        </w:rPr>
        <w:t>для различных вариантов финансового оздоровления.</w:t>
      </w:r>
    </w:p>
    <w:p w:rsidR="00A7124C" w:rsidRDefault="00D138DA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Эффективность различных вариантов санации по показателю «Финансовые затраты на оздоровление/ Активы санируемого банка» в американской практике. </w:t>
      </w:r>
      <w:r>
        <w:rPr>
          <w:rStyle w:val="FontStyle73"/>
          <w:sz w:val="28"/>
          <w:szCs w:val="28"/>
        </w:rPr>
        <w:lastRenderedPageBreak/>
        <w:t>Дерево решений для выбора подходящего варианта санации проблемного банка по критерии минимизации затрат.</w:t>
      </w:r>
    </w:p>
    <w:p w:rsidR="00A7124C" w:rsidRDefault="00A7124C">
      <w:pPr>
        <w:pStyle w:val="Style42"/>
        <w:widowControl/>
        <w:spacing w:line="360" w:lineRule="auto"/>
        <w:rPr>
          <w:rStyle w:val="FontStyle73"/>
          <w:sz w:val="28"/>
        </w:rPr>
      </w:pPr>
    </w:p>
    <w:p w:rsidR="00A7124C" w:rsidRDefault="00D138DA">
      <w:pPr>
        <w:pStyle w:val="aff3"/>
        <w:shd w:val="clear" w:color="auto" w:fill="FFFFFF"/>
        <w:spacing w:line="360" w:lineRule="auto"/>
        <w:ind w:firstLine="709"/>
        <w:jc w:val="both"/>
        <w:rPr>
          <w:rFonts w:eastAsiaTheme="minorHAnsi"/>
          <w:b/>
          <w:color w:val="FF0000"/>
          <w:sz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Тема 4. Российский и зарубежный опыт антикризисного управления </w:t>
      </w:r>
      <w:r>
        <w:rPr>
          <w:rFonts w:eastAsiaTheme="minorHAnsi"/>
          <w:b/>
          <w:sz w:val="28"/>
        </w:rPr>
        <w:t>банками.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A7124C" w:rsidRDefault="00D138DA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Российская практика финансового оздоровления банков Этапы формирования современных механизмов санации </w:t>
      </w:r>
      <w:r>
        <w:rPr>
          <w:rStyle w:val="FontStyle73"/>
          <w:sz w:val="28"/>
        </w:rPr>
        <w:t xml:space="preserve">слабых </w:t>
      </w:r>
      <w:r>
        <w:rPr>
          <w:rStyle w:val="FontStyle73"/>
          <w:sz w:val="28"/>
          <w:szCs w:val="28"/>
        </w:rPr>
        <w:t>банков в России.</w:t>
      </w:r>
    </w:p>
    <w:p w:rsidR="00A7124C" w:rsidRDefault="00D138DA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Организация финансового оздоровления банка. </w:t>
      </w:r>
      <w:r>
        <w:rPr>
          <w:rStyle w:val="FontStyle73"/>
          <w:sz w:val="28"/>
        </w:rPr>
        <w:t xml:space="preserve">Основания для принятия мер по финансовому оздоровлению. </w:t>
      </w:r>
      <w:r>
        <w:rPr>
          <w:rStyle w:val="FontStyle73"/>
          <w:sz w:val="28"/>
          <w:szCs w:val="28"/>
        </w:rPr>
        <w:t>Требования к содержанию плана мер по финансовому оздоровлению банка. Особенности оценки финансового состояния при разработке плана мер по финансовому оздоровлению банка. Управление банком в период финансового оздоровления.</w:t>
      </w:r>
    </w:p>
    <w:p w:rsidR="00A7124C" w:rsidRDefault="00D138DA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Сравнительный анализ различных инструментов санации банков в России: привлечение стороннего инвестора, добровольная конвертация обязательств в элементы собственного капитала (</w:t>
      </w:r>
      <w:r>
        <w:rPr>
          <w:rStyle w:val="FontStyle73"/>
          <w:sz w:val="28"/>
          <w:szCs w:val="28"/>
          <w:lang w:val="en-US"/>
        </w:rPr>
        <w:t>bail</w:t>
      </w:r>
      <w:r>
        <w:rPr>
          <w:rStyle w:val="FontStyle73"/>
          <w:sz w:val="28"/>
          <w:szCs w:val="28"/>
        </w:rPr>
        <w:t>-</w:t>
      </w:r>
      <w:r>
        <w:rPr>
          <w:rStyle w:val="FontStyle73"/>
          <w:sz w:val="28"/>
          <w:szCs w:val="28"/>
          <w:lang w:val="en-US"/>
        </w:rPr>
        <w:t>in</w:t>
      </w:r>
      <w:r>
        <w:rPr>
          <w:rStyle w:val="FontStyle73"/>
          <w:sz w:val="28"/>
          <w:szCs w:val="28"/>
        </w:rPr>
        <w:t>), покупка активов и принятие обязательств (P&amp;A), санация через Фонд консолидации банковского сектора (ФКБС), банк непрофильных («плохих») активов.</w:t>
      </w:r>
    </w:p>
    <w:p w:rsidR="00A7124C" w:rsidRDefault="00D138DA">
      <w:pPr>
        <w:pStyle w:val="aff3"/>
        <w:shd w:val="clear" w:color="auto" w:fill="FFFFFF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Понятие и назначение плана восстановления финансовой устойчивости (далее – ПВФУ) банка. Рекомендации Совета по финансовой стабильности и требования Банка России (Положение 653-П). </w:t>
      </w:r>
      <w:r>
        <w:rPr>
          <w:rStyle w:val="FontStyle73"/>
          <w:sz w:val="28"/>
          <w:szCs w:val="28"/>
        </w:rPr>
        <w:t>Содержание, порядок и сроки составления российскими кредитными организациями планов</w:t>
      </w:r>
      <w:r>
        <w:rPr>
          <w:sz w:val="28"/>
          <w:szCs w:val="28"/>
        </w:rPr>
        <w:t xml:space="preserve"> </w:t>
      </w:r>
      <w:r>
        <w:rPr>
          <w:rStyle w:val="FontStyle73"/>
          <w:sz w:val="28"/>
          <w:szCs w:val="28"/>
        </w:rPr>
        <w:t>восстановления финансовой устойчивости, а также их проверки со стороны Банка России</w:t>
      </w:r>
      <w:r>
        <w:rPr>
          <w:rStyle w:val="a9"/>
          <w:sz w:val="28"/>
          <w:szCs w:val="28"/>
        </w:rPr>
        <w:footnoteReference w:id="7"/>
      </w:r>
      <w:r>
        <w:rPr>
          <w:rStyle w:val="FontStyle73"/>
          <w:sz w:val="28"/>
          <w:szCs w:val="28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A7124C" w:rsidRDefault="00D138DA">
      <w:pPr>
        <w:pStyle w:val="aff3"/>
        <w:shd w:val="clear" w:color="auto" w:fill="FFFFFF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Структура ПВФУ. Основные и дополнительные индикаторы оценки финансовой устойчивости и начала реализации ПВФУ (российский опыт и зарубежная практика).</w:t>
      </w:r>
    </w:p>
    <w:p w:rsidR="00A7124C" w:rsidRDefault="00D138DA">
      <w:pPr>
        <w:pStyle w:val="aff3"/>
        <w:shd w:val="clear" w:color="auto" w:fill="FFFFFF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Обзор зарубежной практики составления ПВФУ (</w:t>
      </w:r>
      <w:r>
        <w:rPr>
          <w:rFonts w:eastAsiaTheme="minorHAnsi"/>
          <w:sz w:val="28"/>
          <w:szCs w:val="28"/>
          <w:lang w:val="en-US" w:eastAsia="en-US"/>
        </w:rPr>
        <w:t>resolution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plan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val="en-US" w:eastAsia="en-US"/>
        </w:rPr>
        <w:t>recovery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plan</w:t>
      </w:r>
      <w:r>
        <w:rPr>
          <w:rFonts w:eastAsiaTheme="minorHAnsi"/>
          <w:sz w:val="28"/>
          <w:szCs w:val="28"/>
          <w:lang w:eastAsia="en-US"/>
        </w:rPr>
        <w:t>)</w:t>
      </w:r>
      <w:r>
        <w:rPr>
          <w:rStyle w:val="a9"/>
          <w:rFonts w:eastAsiaTheme="minorHAnsi"/>
          <w:sz w:val="28"/>
          <w:szCs w:val="28"/>
          <w:lang w:eastAsia="en-US"/>
        </w:rPr>
        <w:footnoteReference w:id="8"/>
      </w:r>
      <w:r>
        <w:rPr>
          <w:rFonts w:eastAsiaTheme="minorHAnsi"/>
          <w:sz w:val="28"/>
          <w:szCs w:val="28"/>
          <w:lang w:eastAsia="en-US"/>
        </w:rPr>
        <w:t xml:space="preserve"> и зарубежных банков (в некоторых юрисдикциях, например, в США</w:t>
      </w:r>
      <w:r>
        <w:rPr>
          <w:rStyle w:val="a9"/>
          <w:rFonts w:eastAsiaTheme="minorHAnsi"/>
          <w:sz w:val="28"/>
          <w:szCs w:val="28"/>
          <w:lang w:eastAsia="en-US"/>
        </w:rPr>
        <w:footnoteReference w:id="9"/>
      </w:r>
      <w:r>
        <w:rPr>
          <w:rFonts w:eastAsiaTheme="minorHAnsi"/>
          <w:sz w:val="28"/>
          <w:szCs w:val="28"/>
          <w:lang w:eastAsia="en-US"/>
        </w:rPr>
        <w:t>, банки публично раскрывают открытую часть своих ПВФУ).</w:t>
      </w:r>
    </w:p>
    <w:p w:rsidR="00A7124C" w:rsidRDefault="00D138DA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Проблемы и перспективы развития российской модели выявления слабых банков и их финансового оздоровления.</w:t>
      </w:r>
    </w:p>
    <w:p w:rsidR="00A7124C" w:rsidRDefault="00D138DA">
      <w:pPr>
        <w:pStyle w:val="Style42"/>
        <w:widowControl/>
        <w:spacing w:line="36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Антикризисное управление в Европейском союзе. Элементы т.н. «Банковского союза ЕС»: единый механизм надзора</w:t>
      </w:r>
      <w:r>
        <w:rPr>
          <w:rStyle w:val="a9"/>
          <w:sz w:val="28"/>
          <w:szCs w:val="28"/>
        </w:rPr>
        <w:footnoteReference w:id="10"/>
      </w:r>
      <w:r>
        <w:rPr>
          <w:rStyle w:val="FontStyle73"/>
          <w:sz w:val="28"/>
          <w:szCs w:val="28"/>
        </w:rPr>
        <w:t>, единый механизм санации</w:t>
      </w:r>
      <w:r>
        <w:rPr>
          <w:rStyle w:val="a9"/>
          <w:sz w:val="28"/>
          <w:szCs w:val="28"/>
        </w:rPr>
        <w:footnoteReference w:id="11"/>
      </w:r>
      <w:r>
        <w:rPr>
          <w:rStyle w:val="FontStyle73"/>
          <w:sz w:val="28"/>
          <w:szCs w:val="28"/>
        </w:rPr>
        <w:t xml:space="preserve"> и единая нормативно-правовая база для всех банков ЕС. Реформирование европейской концепции страхования вкладов и работы со слабыми банками (2023)</w:t>
      </w:r>
      <w:r>
        <w:rPr>
          <w:rStyle w:val="a9"/>
          <w:sz w:val="28"/>
          <w:szCs w:val="28"/>
        </w:rPr>
        <w:footnoteReference w:id="12"/>
      </w:r>
      <w:r>
        <w:rPr>
          <w:rStyle w:val="FontStyle73"/>
          <w:sz w:val="28"/>
          <w:szCs w:val="28"/>
        </w:rPr>
        <w:t>.</w:t>
      </w:r>
    </w:p>
    <w:p w:rsidR="00A7124C" w:rsidRDefault="00D138DA">
      <w:pPr>
        <w:pStyle w:val="Style42"/>
        <w:widowControl/>
        <w:spacing w:line="360" w:lineRule="auto"/>
        <w:ind w:firstLine="709"/>
        <w:rPr>
          <w:sz w:val="28"/>
          <w:szCs w:val="28"/>
        </w:rPr>
      </w:pPr>
      <w:r>
        <w:rPr>
          <w:rStyle w:val="FontStyle73"/>
          <w:sz w:val="28"/>
          <w:szCs w:val="28"/>
        </w:rPr>
        <w:t xml:space="preserve">Рекомендации </w:t>
      </w:r>
      <w:r>
        <w:rPr>
          <w:sz w:val="28"/>
          <w:szCs w:val="28"/>
        </w:rPr>
        <w:t>Международной Ассоциации Страховщиков Депозитов. Базовый принцип: раннее выявление и ранее вмешательство. Методы выявления слабых банков. Неформальные и формальные корректирующие меры.</w:t>
      </w:r>
    </w:p>
    <w:p w:rsidR="00A7124C" w:rsidRDefault="00D138DA">
      <w:pPr>
        <w:pStyle w:val="Style42"/>
        <w:widowControl/>
        <w:spacing w:line="360" w:lineRule="auto"/>
        <w:ind w:firstLine="709"/>
        <w:rPr>
          <w:rStyle w:val="FontStyle73"/>
          <w:sz w:val="28"/>
          <w:szCs w:val="28"/>
        </w:rPr>
      </w:pPr>
      <w:r>
        <w:rPr>
          <w:sz w:val="28"/>
          <w:szCs w:val="28"/>
        </w:rPr>
        <w:t>Рекомендации Совета по финансовой стабильности. Ключевой механизм – подготовка и ежегодный пересмотр планов восстановления финансовой устойчивости (т.н. «самооздоровления») в случае возникновения кризисной ситуации в банке. Европейский и американский опыт использования «планов самооздоровления».</w:t>
      </w:r>
    </w:p>
    <w:p w:rsidR="00A7124C" w:rsidRDefault="00A7124C">
      <w:pPr>
        <w:pStyle w:val="aff3"/>
        <w:shd w:val="clear" w:color="auto" w:fill="FFFFFF"/>
        <w:spacing w:line="360" w:lineRule="auto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A7124C" w:rsidRDefault="00A7124C">
      <w:pPr>
        <w:pStyle w:val="aff3"/>
        <w:shd w:val="clear" w:color="auto" w:fill="FFFFFF"/>
        <w:spacing w:line="360" w:lineRule="auto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A7124C" w:rsidRDefault="00D138DA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7" w:name="_Toc119582446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5.2. Учебно-тематический план</w:t>
      </w:r>
      <w:bookmarkEnd w:id="7"/>
    </w:p>
    <w:p w:rsidR="00A7124C" w:rsidRDefault="00D138DA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 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2</w:t>
      </w:r>
    </w:p>
    <w:p w:rsidR="00A7124C" w:rsidRDefault="00A7124C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5"/>
        <w:gridCol w:w="2438"/>
        <w:gridCol w:w="709"/>
        <w:gridCol w:w="852"/>
        <w:gridCol w:w="991"/>
        <w:gridCol w:w="1706"/>
        <w:gridCol w:w="1134"/>
        <w:gridCol w:w="1830"/>
      </w:tblGrid>
      <w:tr w:rsidR="00A7124C">
        <w:tc>
          <w:tcPr>
            <w:tcW w:w="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№</w:t>
            </w:r>
          </w:p>
          <w:p w:rsidR="00A7124C" w:rsidRDefault="00D138DA">
            <w:pPr>
              <w:contextualSpacing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44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  (разделов) дисциплины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Трудоемкость в часах</w:t>
            </w:r>
          </w:p>
        </w:tc>
        <w:tc>
          <w:tcPr>
            <w:tcW w:w="183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A7124C">
        <w:trPr>
          <w:trHeight w:val="253"/>
        </w:trPr>
        <w:tc>
          <w:tcPr>
            <w:tcW w:w="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A7124C" w:rsidRDefault="00A7124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A7124C" w:rsidRDefault="00A7124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Все-го</w:t>
            </w:r>
          </w:p>
        </w:tc>
        <w:tc>
          <w:tcPr>
            <w:tcW w:w="3555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Контактная работа *- Аудиторная работа</w:t>
            </w:r>
          </w:p>
        </w:tc>
        <w:tc>
          <w:tcPr>
            <w:tcW w:w="113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Самос</w:t>
            </w:r>
          </w:p>
          <w:p w:rsidR="00A7124C" w:rsidRDefault="00D138DA">
            <w:pPr>
              <w:contextualSpacing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тоятель</w:t>
            </w:r>
          </w:p>
          <w:p w:rsidR="00A7124C" w:rsidRDefault="00D138DA">
            <w:pPr>
              <w:contextualSpacing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ная работа</w:t>
            </w:r>
          </w:p>
        </w:tc>
        <w:tc>
          <w:tcPr>
            <w:tcW w:w="183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A7124C" w:rsidRDefault="00A7124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A7124C">
        <w:tc>
          <w:tcPr>
            <w:tcW w:w="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A7124C" w:rsidRDefault="00A7124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A7124C" w:rsidRDefault="00A7124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A7124C" w:rsidRDefault="00A7124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Об-щая, в т.ч.: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6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A7124C" w:rsidRDefault="00A7124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83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A7124C" w:rsidRDefault="00A7124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A7124C">
        <w:trPr>
          <w:trHeight w:val="3142"/>
        </w:trPr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shd w:val="clear" w:color="auto" w:fill="FFFFFF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Кризис в банке и банковском секторе: понятия, причины, индикаторы проблем и модели антикризисного управления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 дискуссия</w:t>
            </w:r>
          </w:p>
        </w:tc>
      </w:tr>
      <w:tr w:rsidR="00A7124C">
        <w:trPr>
          <w:trHeight w:val="1685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44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pStyle w:val="aff3"/>
              <w:widowControl w:val="0"/>
              <w:shd w:val="clear" w:color="auto" w:fill="FFFFFF"/>
              <w:spacing w:before="280" w:beforeAutospacing="0" w:after="280" w:afterAutospacing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Стрессовое тестирование в коммерческом банке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6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8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</w:t>
            </w:r>
          </w:p>
          <w:p w:rsidR="00A7124C" w:rsidRDefault="00D138DA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решение задачи, дебаты</w:t>
            </w:r>
          </w:p>
        </w:tc>
      </w:tr>
      <w:tr w:rsidR="00A7124C">
        <w:trPr>
          <w:trHeight w:val="1469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Меры по восстановлению финансовой устойчивости банков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</w:t>
            </w:r>
          </w:p>
          <w:p w:rsidR="00A7124C" w:rsidRDefault="00D138DA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дебаты</w:t>
            </w:r>
          </w:p>
        </w:tc>
      </w:tr>
      <w:tr w:rsidR="00A7124C">
        <w:trPr>
          <w:trHeight w:val="1504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aff3"/>
              <w:widowControl w:val="0"/>
              <w:shd w:val="clear" w:color="auto" w:fill="FFFFFF"/>
              <w:spacing w:before="280" w:beforeAutospacing="0" w:after="28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Российский и зарубежный опыт антикризисного управления банками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4C" w:rsidRDefault="00D138DA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</w:t>
            </w:r>
          </w:p>
          <w:p w:rsidR="00A7124C" w:rsidRDefault="00D138DA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эссе</w:t>
            </w:r>
          </w:p>
        </w:tc>
      </w:tr>
      <w:tr w:rsidR="00A7124C"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3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целом по дисциплине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853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1833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Согласно учебному плану: эссе</w:t>
            </w:r>
          </w:p>
        </w:tc>
      </w:tr>
      <w:tr w:rsidR="00A7124C"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A7124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Cs w:val="22"/>
              </w:rPr>
              <w:t>100%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22%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jc w:val="center"/>
              <w:rPr>
                <w:i/>
                <w:color w:val="000000"/>
                <w:sz w:val="22"/>
                <w:szCs w:val="22"/>
                <w:lang w:val="en-US"/>
              </w:rPr>
            </w:pPr>
            <w:r>
              <w:rPr>
                <w:i/>
                <w:color w:val="000000"/>
                <w:sz w:val="22"/>
                <w:szCs w:val="22"/>
                <w:lang w:val="en-US"/>
              </w:rPr>
              <w:t>33%</w:t>
            </w:r>
          </w:p>
        </w:tc>
        <w:tc>
          <w:tcPr>
            <w:tcW w:w="1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jc w:val="center"/>
              <w:rPr>
                <w:i/>
                <w:color w:val="000000"/>
                <w:sz w:val="22"/>
                <w:szCs w:val="22"/>
                <w:lang w:val="en-US"/>
              </w:rPr>
            </w:pPr>
            <w:r>
              <w:rPr>
                <w:i/>
                <w:color w:val="000000"/>
                <w:sz w:val="22"/>
                <w:szCs w:val="22"/>
                <w:lang w:val="en-US"/>
              </w:rPr>
              <w:t>67%</w:t>
            </w:r>
          </w:p>
        </w:tc>
        <w:tc>
          <w:tcPr>
            <w:tcW w:w="1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D138DA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78%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124C" w:rsidRDefault="00A7124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A7124C" w:rsidRDefault="00D138DA">
      <w:pPr>
        <w:pStyle w:val="afe"/>
        <w:keepNext/>
        <w:ind w:left="0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 </w:t>
      </w: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A7124C" w:rsidRDefault="00A7124C">
      <w:pPr>
        <w:pStyle w:val="af5"/>
        <w:jc w:val="both"/>
        <w:rPr>
          <w:szCs w:val="28"/>
        </w:rPr>
      </w:pPr>
    </w:p>
    <w:p w:rsidR="00A7124C" w:rsidRDefault="00A7124C">
      <w:pPr>
        <w:pStyle w:val="af5"/>
        <w:jc w:val="both"/>
        <w:rPr>
          <w:szCs w:val="28"/>
        </w:rPr>
      </w:pPr>
    </w:p>
    <w:p w:rsidR="00A7124C" w:rsidRDefault="00D138DA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8" w:name="_Toc119582447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lastRenderedPageBreak/>
        <w:t>5.3. Содержание семинаров, практических занятий</w:t>
      </w:r>
      <w:bookmarkEnd w:id="8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</w:t>
      </w:r>
    </w:p>
    <w:p w:rsidR="00A7124C" w:rsidRDefault="00D138DA">
      <w:pPr>
        <w:keepNext/>
        <w:jc w:val="right"/>
        <w:rPr>
          <w:sz w:val="28"/>
          <w:szCs w:val="24"/>
        </w:rPr>
      </w:pPr>
      <w:r>
        <w:rPr>
          <w:sz w:val="28"/>
          <w:szCs w:val="24"/>
        </w:rPr>
        <w:t>Таблица 3</w:t>
      </w:r>
    </w:p>
    <w:p w:rsidR="00A7124C" w:rsidRDefault="00A7124C">
      <w:pPr>
        <w:rPr>
          <w:i/>
          <w:color w:val="000000"/>
          <w:sz w:val="28"/>
          <w:szCs w:val="28"/>
        </w:rPr>
      </w:pPr>
    </w:p>
    <w:p w:rsidR="00A7124C" w:rsidRDefault="00A7124C">
      <w:pPr>
        <w:spacing w:line="14" w:lineRule="exact"/>
        <w:rPr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920"/>
        <w:gridCol w:w="3986"/>
        <w:gridCol w:w="4289"/>
      </w:tblGrid>
      <w:tr w:rsidR="00A7124C">
        <w:trPr>
          <w:tblHeader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A7124C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Кризис в банке и банковском секторе: понятия, причины, индикаторы проблем и модели антикризисного управления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pStyle w:val="afe"/>
              <w:keepNext/>
              <w:numPr>
                <w:ilvl w:val="0"/>
                <w:numId w:val="16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Справедливо ли объяснять содержание банковского кризиса с его последствиями? В чем проявляется экономическая природа банковского кризиса?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16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взаимосвязаны денежный кризис, кредитный кризис и банковский кризис?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16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модели выявления банковского кризиса лучше подходят для российской практики?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16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меры направлены на обеспечение финансовой устойчивости банковского сектора?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16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Опишите этапы и процедуры антикризисного управления в коммерческом банке.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16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Справедливо ли говорить, что всякое изменение в функционировании банковской системе есть кризис, а равновесие является частным случаем кризиса?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16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Является ли антикризисное управление банком непрерывным или дискретным процессом?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16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Можно ли признать существующую практику банковского регулирования и надзора со стороны Банка России примером реактивного антикризисного управления на макроуровне? В чем она соответствует/ не соответствует модели реактивного антикризисного управления?</w:t>
            </w:r>
          </w:p>
          <w:p w:rsidR="00A7124C" w:rsidRDefault="00A7124C">
            <w:pPr>
              <w:pStyle w:val="34"/>
              <w:widowControl w:val="0"/>
              <w:ind w:left="76" w:firstLine="0"/>
              <w:jc w:val="both"/>
              <w:rPr>
                <w:sz w:val="22"/>
                <w:szCs w:val="22"/>
              </w:rPr>
            </w:pPr>
          </w:p>
          <w:p w:rsidR="00A7124C" w:rsidRDefault="00D138D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Рекомендуемые источники: </w:t>
            </w:r>
          </w:p>
          <w:p w:rsidR="00A7124C" w:rsidRDefault="00D138D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8:</w:t>
            </w:r>
          </w:p>
          <w:p w:rsidR="00A7124C" w:rsidRDefault="00D138DA">
            <w:pPr>
              <w:pStyle w:val="afe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5</w:t>
            </w:r>
          </w:p>
          <w:p w:rsidR="00A7124C" w:rsidRDefault="00D138DA">
            <w:pPr>
              <w:pStyle w:val="afe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</w:t>
            </w:r>
          </w:p>
          <w:p w:rsidR="00A7124C" w:rsidRDefault="00D138D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9: 1-4</w:t>
            </w:r>
          </w:p>
          <w:p w:rsidR="00A7124C" w:rsidRDefault="00A7124C">
            <w:pPr>
              <w:pStyle w:val="afe"/>
              <w:ind w:left="221"/>
              <w:jc w:val="both"/>
              <w:rPr>
                <w:sz w:val="22"/>
                <w:szCs w:val="22"/>
              </w:rPr>
            </w:pP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Устные ответы на вопросы, дискуссия.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базовыми предпосылками возникновения кризиса в банковской системе.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различных методик раннего выявления проблем в деятельности отдельного банка.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задание – расчет финансовых индикаторов на основе отчетности отдельного банка, ставшего впоследствии проблемным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задание – изучение публикуемых ЦМАКП сводных опережающих индикаторов (в графическом виде) возникновения кризиса в банковской системе и срабатывания отдельных видов риска и их интерпретация.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понятия антикризисного управления в различных научных школах, их достоинств и недостатков.</w:t>
            </w:r>
          </w:p>
          <w:p w:rsidR="00A7124C" w:rsidRDefault="00A7124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A7124C" w:rsidRDefault="00D138D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Задание – провести сравнительный анализ классического и антикризисного управления (объект, субъект управления, инструментарий, ресурсы), а также антикризисного управления банком и банковской системой (цель, субъект, методы управления, ресурсы).</w:t>
            </w:r>
          </w:p>
        </w:tc>
      </w:tr>
      <w:tr w:rsidR="00A7124C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Стрессовое тестирование в коммерческом банке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и содержание стресс-тестирования. Концепция стрессового тестирования.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Этапы стрессового тестирования, их характеристика.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Критерии эффективности стресс-тестирования.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Моделирование как инструмент стрессового тестирования, его характеристика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4"/>
              </w:numPr>
              <w:tabs>
                <w:tab w:val="left" w:pos="426"/>
                <w:tab w:val="left" w:pos="453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Позволяет ли стресс-тестирование определить вероятность наступления негативных событий?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4"/>
              </w:numPr>
              <w:tabs>
                <w:tab w:val="left" w:pos="426"/>
                <w:tab w:val="left" w:pos="453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Каким образом в настоящее время решается проблема учета корреляций между факторами рисками в ходе расчета величины потерь от реализации стресс-сценария (в российской и зарубежной практике)?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4"/>
              </w:numPr>
              <w:tabs>
                <w:tab w:val="left" w:pos="426"/>
                <w:tab w:val="left" w:pos="453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сложности мешают российским банкам применять стресс-тестирование на уровне всего банка для целей антикризисного управления? Насколько данный инструмент управления необходим всем российским банкам?</w:t>
            </w:r>
          </w:p>
          <w:p w:rsidR="00A7124C" w:rsidRDefault="00A7124C">
            <w:pPr>
              <w:pStyle w:val="34"/>
              <w:widowControl w:val="0"/>
              <w:jc w:val="both"/>
              <w:rPr>
                <w:sz w:val="22"/>
                <w:szCs w:val="22"/>
              </w:rPr>
            </w:pPr>
          </w:p>
          <w:p w:rsidR="00A7124C" w:rsidRDefault="00D138D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Рекомендуемые источники: </w:t>
            </w:r>
          </w:p>
          <w:p w:rsidR="00A7124C" w:rsidRDefault="00D138D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8:</w:t>
            </w:r>
          </w:p>
          <w:p w:rsidR="00A7124C" w:rsidRDefault="00D138DA">
            <w:pPr>
              <w:pStyle w:val="afe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5</w:t>
            </w:r>
          </w:p>
          <w:p w:rsidR="00A7124C" w:rsidRDefault="00D138DA">
            <w:pPr>
              <w:pStyle w:val="afe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</w:t>
            </w:r>
          </w:p>
          <w:p w:rsidR="00A7124C" w:rsidRDefault="00D138D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9: 1</w:t>
            </w:r>
          </w:p>
          <w:p w:rsidR="00A7124C" w:rsidRDefault="00A7124C">
            <w:pPr>
              <w:pStyle w:val="afe"/>
              <w:ind w:left="221"/>
              <w:jc w:val="both"/>
              <w:rPr>
                <w:sz w:val="22"/>
                <w:szCs w:val="22"/>
              </w:rPr>
            </w:pP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Устные ответы на вопросы, дискуссия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ролью стресс-тестирования в системе антикризисного управления.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Обсуждение со студентами принципов проведения стресс-тестирования, а также европейского опыта </w:t>
            </w:r>
            <w:r>
              <w:rPr>
                <w:sz w:val="22"/>
                <w:szCs w:val="22"/>
              </w:rPr>
              <w:lastRenderedPageBreak/>
              <w:t>в этой сфере по материалам Европейского органа по банковскому надзору (European Banking Authority).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дискуссии в форме </w:t>
            </w:r>
            <w:r>
              <w:rPr>
                <w:sz w:val="22"/>
                <w:szCs w:val="22"/>
                <w:u w:val="single"/>
              </w:rPr>
              <w:t>дебатов</w:t>
            </w:r>
            <w:r>
              <w:rPr>
                <w:sz w:val="22"/>
                <w:szCs w:val="22"/>
              </w:rPr>
              <w:t xml:space="preserve"> на тему «Следует ли Банку России публиковать методику проведения стресс-тестирования банковской системы?». </w:t>
            </w:r>
          </w:p>
          <w:p w:rsidR="00A7124C" w:rsidRDefault="00D138DA">
            <w:pPr>
              <w:pStyle w:val="afe"/>
              <w:keepNext/>
              <w:tabs>
                <w:tab w:val="left" w:pos="512"/>
              </w:tabs>
              <w:ind w:left="0" w:firstLine="31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Одна команда</w:t>
            </w:r>
            <w:r>
              <w:rPr>
                <w:sz w:val="22"/>
                <w:szCs w:val="22"/>
              </w:rPr>
              <w:t xml:space="preserve"> студентов отстаивает точку зрения о том, что органу надзора следует опубликовать методику проведения стресс-тестирования и его подробные результаты в свободном доступе, как это было сделано в ЕС. Такой подход сделает процедуру более прозрачной, а также обеспечит российские банки необходимой методической базой, в отсутствии которой многие кредитные институты испытывают затруднения при использовании стресс-тестирования как метода антикризисного управления.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Другая команда</w:t>
            </w:r>
            <w:r>
              <w:rPr>
                <w:sz w:val="22"/>
                <w:szCs w:val="22"/>
              </w:rPr>
              <w:t xml:space="preserve"> стоит на следующих позициях. Публикация методики проведения стресс-тестирования может оказаться контрпродуктивной, т.к. может сформировать неверные стимулы у банков. У последних может появится стремление структурировать свои портфели активов, обязательств и забалансовых статей таким образом, что формально показать наилучший результат, не пытаясь при этом действительно улучшить качество своего риск-менеджмента и снизить объем принимаемых рисков.</w:t>
            </w:r>
          </w:p>
        </w:tc>
      </w:tr>
      <w:tr w:rsidR="00A7124C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3. Меры по восстановлению финансовой устойчивости банков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понятий слабого банка, проблемного банка, финансовой неустойчивого банка.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Признаки слабого банка.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Причины возникновения слабого банка.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выявления потенциально слабых банков на ранних стадиях.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Рекомендации Базельского комитета по банковскому надзору (БКБН) по работе со слабыми банками.  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принципы работы со слабыми банками, разработанные Международной ассоциацией страховщиков депозитов (МАСД).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Рыночные и нерыночные методы санации банков (содержание и критерии выбора).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Почему в случае появления у банка первых признаков проблем могут быть востребованы рыночные механизмы санации? В чем их преимущество? Почему органы надзоры зачастую упускают возможность воспользоваться своими полномочиями на ранних стадиях кризисной ситуации в банках?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чем состоит «моральный риск» решения органа надзора отказаться от жестких мер при выявлении признаков проблемного банка? При каких условиях реализация мер снисходительности регулятора окажется оправданной?</w:t>
            </w:r>
          </w:p>
          <w:p w:rsidR="00A7124C" w:rsidRDefault="00A7124C">
            <w:pPr>
              <w:pStyle w:val="34"/>
              <w:widowControl w:val="0"/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pStyle w:val="34"/>
              <w:widowControl w:val="0"/>
              <w:tabs>
                <w:tab w:val="left" w:pos="426"/>
              </w:tabs>
              <w:ind w:left="206" w:firstLine="0"/>
              <w:jc w:val="both"/>
              <w:rPr>
                <w:sz w:val="22"/>
                <w:szCs w:val="22"/>
              </w:rPr>
            </w:pPr>
          </w:p>
          <w:p w:rsidR="00A7124C" w:rsidRDefault="00D138D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Рекомендуемые источники:</w:t>
            </w:r>
          </w:p>
          <w:p w:rsidR="00A7124C" w:rsidRDefault="00D138D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8:</w:t>
            </w:r>
          </w:p>
          <w:p w:rsidR="00A7124C" w:rsidRDefault="00D138DA">
            <w:pPr>
              <w:pStyle w:val="afe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1,2,4</w:t>
            </w:r>
          </w:p>
          <w:p w:rsidR="00A7124C" w:rsidRDefault="00D138DA">
            <w:pPr>
              <w:pStyle w:val="afe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1,2,3,4</w:t>
            </w:r>
          </w:p>
          <w:p w:rsidR="00A7124C" w:rsidRDefault="00D138D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9: 1-4</w:t>
            </w:r>
          </w:p>
          <w:p w:rsidR="00A7124C" w:rsidRDefault="00A7124C">
            <w:pPr>
              <w:ind w:left="79"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Устные ответы на вопросы, дискуссия.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актуальных научных исследований по вопросу раннего выявления слабых банков.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Сравнительный анализ методик раннего выявления слабых банков.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рекомендациями международных организаций по работе со слабыми банками.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различных подходов к финансовому оздоровлению кредитных институтов. Обсуждение их достоинств и недостатков, сравнение по величины затрат для общества в целом и системы страхования вкладов в частности от реализации той или иной процедуры санации банка.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дискуссии в форме </w:t>
            </w:r>
            <w:r>
              <w:rPr>
                <w:sz w:val="22"/>
                <w:szCs w:val="22"/>
                <w:u w:val="single"/>
              </w:rPr>
              <w:lastRenderedPageBreak/>
              <w:t>дебатов</w:t>
            </w:r>
            <w:r>
              <w:rPr>
                <w:sz w:val="22"/>
                <w:szCs w:val="22"/>
              </w:rPr>
              <w:t xml:space="preserve"> на тему «Нужен ли в российской практике механизм принудительной конвертации обязательств банка в инструменты собственного капитала (bail-in)?». </w:t>
            </w:r>
          </w:p>
          <w:p w:rsidR="00A7124C" w:rsidRDefault="00D138DA">
            <w:pPr>
              <w:keepNext/>
              <w:ind w:firstLine="45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Точка зрения </w:t>
            </w:r>
            <w:r>
              <w:rPr>
                <w:sz w:val="22"/>
                <w:szCs w:val="22"/>
                <w:u w:val="single"/>
              </w:rPr>
              <w:t>одной команды</w:t>
            </w:r>
            <w:r>
              <w:rPr>
                <w:sz w:val="22"/>
                <w:szCs w:val="22"/>
              </w:rPr>
              <w:t xml:space="preserve"> студентов состоит в том, что механизм «bail-in» необходим, т.к. он позволяет экономить средства Банка России и АСВ для проведения санаций и поддержания устойчивости банковского сектора в целом Кроме того, он дает кредиторам банка шанс на возврат своих вложений в будущем в случае успешного функционирования испытывающего трудности банка, в т.ч. через участие в управлении им в качестве акционеров (если такая возможность предусмотрена).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Команда оппонентов</w:t>
            </w:r>
            <w:r>
              <w:rPr>
                <w:sz w:val="22"/>
                <w:szCs w:val="22"/>
              </w:rPr>
              <w:t xml:space="preserve"> утверждает, что реализация механизма конвертации обязательств в элементы собственного капитала (bail-in) несет в себе ряд проблем. Одной из является потеря доверия вкладчиков к банковской системе страны, в особенности к средним и малым банкам с частным капиталом. Это приведет к дальнейшему переводу вкладов и расчетных счетов в банки с государственным участием. Кроме того, механизм «bail-in» влечет за собой риск роста стоимости привлечения заемных средств в части конвертируемых обязательств</w:t>
            </w:r>
          </w:p>
        </w:tc>
      </w:tr>
      <w:tr w:rsidR="00A7124C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4. Российский и зарубежный опыт антикризисного управления банками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Какой зарубежный опыт антикризисного управления банками может быть успешно адаптирован в России?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Российская нормативно-правовая база проведения мероприятий по предупреждению банкротства кредитных организаций (виды мероприятий, основания для их применения).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Функции и задачи руководителей временной администрации и арбитражных управляющих при банкротстве кредитной организации. 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Меры финансового оздоровления кредитной организации. 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Временная администрация: цели и полномочия. Руководитель временной администрации.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Процедура наблюдения в отношении кредитной организации. 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Российский опыт решения проблем слабых банков (ликвидация, конкурное производство, методы санации через АВС, санация при помощи прямого участия Банка России в уставном капитале слабого банка через дочернее ООО «УК ФКБС»).</w:t>
            </w:r>
          </w:p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банка непрофильных активов (БНА) как элемента механизма санации: российская практика и зарубежный опыт.</w:t>
            </w:r>
          </w:p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Позволяет ли действующее законодательство России оперативно вмешиваться органам надзора в деятельность кредитных организаций при обнаружении признаков проблемного банка?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и предпосылки составления планов восстановления финансовой устойчивости (ПВФУ).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российские банки обязаны составлять ПВФУ? С какой периодичностью?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 разработки ПВФУ, распределение обязанностей в банке по его подготовке.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Критерии оценки качества ПВФУ, применяемые Банком России.</w:t>
            </w:r>
          </w:p>
          <w:p w:rsidR="00A7124C" w:rsidRDefault="00D138DA">
            <w:pPr>
              <w:pStyle w:val="34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запуска ПВФУ: российская практика и зарубежный опыт.</w:t>
            </w:r>
          </w:p>
          <w:p w:rsidR="00A7124C" w:rsidRDefault="00A7124C">
            <w:pPr>
              <w:pStyle w:val="34"/>
              <w:widowControl w:val="0"/>
              <w:ind w:left="0" w:firstLine="0"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pStyle w:val="34"/>
              <w:widowControl w:val="0"/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</w:p>
          <w:p w:rsidR="00A7124C" w:rsidRDefault="00D138D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Рекомендуемые источники:</w:t>
            </w:r>
          </w:p>
          <w:p w:rsidR="00A7124C" w:rsidRDefault="00D138D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8:</w:t>
            </w:r>
          </w:p>
          <w:p w:rsidR="00A7124C" w:rsidRDefault="00D138DA">
            <w:pPr>
              <w:pStyle w:val="afe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1,2,4</w:t>
            </w:r>
          </w:p>
          <w:p w:rsidR="00A7124C" w:rsidRDefault="00D138DA">
            <w:pPr>
              <w:pStyle w:val="afe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1,2,3,4</w:t>
            </w:r>
          </w:p>
          <w:p w:rsidR="00A7124C" w:rsidRDefault="00D138D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9: 1, 3, 4</w:t>
            </w:r>
          </w:p>
          <w:p w:rsidR="00A7124C" w:rsidRDefault="00A7124C">
            <w:pPr>
              <w:pStyle w:val="34"/>
              <w:widowControl w:val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Устные ответы на вопросы, дискуссия.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основными подходами к работе по выявлению слабых банков и их финансовому оздоровлению в ЕС, рекомендациями Международной ассоциации страховщиков депозитов (МАСД) и Совета по финансовой стабильности (СФС).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Разбор примеров ПВФУ из зарубежной практики</w:t>
            </w:r>
            <w:r>
              <w:rPr>
                <w:rStyle w:val="a9"/>
                <w:sz w:val="22"/>
                <w:szCs w:val="22"/>
              </w:rPr>
              <w:footnoteReference w:id="13"/>
            </w:r>
            <w:r>
              <w:rPr>
                <w:sz w:val="22"/>
                <w:szCs w:val="22"/>
              </w:rPr>
              <w:t xml:space="preserve"> (российские банки пока не обязаны раскрывать свои ПВФУ хотя бы частично).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Рассмотрение модели работы Банка «Траст» (ПАО), его плановых и </w:t>
            </w:r>
            <w:r>
              <w:rPr>
                <w:sz w:val="22"/>
                <w:szCs w:val="22"/>
              </w:rPr>
              <w:lastRenderedPageBreak/>
              <w:t>фактических показателей.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объема, структуры и динамики общего объема финансовых средств, выделенных для решения проблемы слабых банков (через АСВ и ООО «УК ФКБС»).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примеров санации слабых банков в России и зарубежных странах.</w:t>
            </w:r>
          </w:p>
          <w:p w:rsidR="00A7124C" w:rsidRDefault="00D138DA">
            <w:pPr>
              <w:pStyle w:val="afe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структуры расходов банка в ходе конкурсного производства по данным на официальном сайте АСВ</w:t>
            </w:r>
            <w:r>
              <w:rPr>
                <w:rStyle w:val="a9"/>
                <w:sz w:val="22"/>
                <w:szCs w:val="22"/>
              </w:rPr>
              <w:footnoteReference w:id="14"/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A7124C" w:rsidRDefault="00D138DA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r>
        <w:rPr>
          <w:rFonts w:ascii="Times New Roman" w:hAnsi="Times New Roman" w:cs="Times New Roman"/>
          <w:bCs w:val="0"/>
          <w:color w:val="auto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:rsidR="00A7124C" w:rsidRDefault="00D138DA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9" w:name="_Toc119582449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p w:rsidR="00A7124C" w:rsidRDefault="00A7124C">
      <w:pPr>
        <w:jc w:val="right"/>
        <w:rPr>
          <w:sz w:val="28"/>
          <w:szCs w:val="28"/>
        </w:rPr>
      </w:pPr>
    </w:p>
    <w:p w:rsidR="00A7124C" w:rsidRDefault="00D138D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4</w:t>
      </w:r>
    </w:p>
    <w:p w:rsidR="00A7124C" w:rsidRDefault="00A7124C">
      <w:pPr>
        <w:spacing w:line="360" w:lineRule="auto"/>
        <w:jc w:val="both"/>
        <w:rPr>
          <w:sz w:val="24"/>
          <w:szCs w:val="24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1917"/>
        <w:gridCol w:w="5562"/>
        <w:gridCol w:w="2694"/>
      </w:tblGrid>
      <w:tr w:rsidR="00A7124C">
        <w:trPr>
          <w:tblHeader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24C" w:rsidRDefault="00D138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24C" w:rsidRDefault="00D138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24C" w:rsidRDefault="00D138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A7124C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Кризис в банке и банковском секторе: понятия, причины, индикаторы проблем и модели антикризисного управления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 кризисных явлений в банковском секторе России</w:t>
            </w:r>
          </w:p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 кризисных явлений в банковском секторе экономически развитых стран</w:t>
            </w:r>
          </w:p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Сходства и различия классического и антикризисного управления.</w:t>
            </w:r>
          </w:p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Проактивное и реактивное антикризисное управление.</w:t>
            </w:r>
          </w:p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 и полномочия органов управления и руководителей, вовлеченных в антикризисное управление.</w:t>
            </w:r>
          </w:p>
          <w:p w:rsidR="00A7124C" w:rsidRDefault="00A7124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</w:tc>
      </w:tr>
      <w:tr w:rsidR="00A7124C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Тема 2. Стрессовое тестирование </w:t>
            </w:r>
            <w:r>
              <w:rPr>
                <w:sz w:val="22"/>
              </w:rPr>
              <w:t>в коммерческом банке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Практика проведения стресс-тестирования банков в ЕС (стресс-тесты в рамках надзорного механизма, тематические стресс-тесты)</w:t>
            </w:r>
            <w:r>
              <w:rPr>
                <w:rStyle w:val="a9"/>
                <w:sz w:val="22"/>
                <w:szCs w:val="22"/>
              </w:rPr>
              <w:footnoteReference w:id="15"/>
            </w:r>
            <w:r>
              <w:rPr>
                <w:sz w:val="22"/>
                <w:szCs w:val="22"/>
              </w:rPr>
              <w:t>.</w:t>
            </w:r>
          </w:p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результаты стресс-тестирования банков в США, в соответствии с Законом Додда-Франка</w:t>
            </w:r>
            <w:r>
              <w:rPr>
                <w:rStyle w:val="a9"/>
                <w:sz w:val="22"/>
                <w:szCs w:val="22"/>
              </w:rPr>
              <w:footnoteReference w:id="16"/>
            </w:r>
            <w:r>
              <w:rPr>
                <w:sz w:val="22"/>
                <w:szCs w:val="22"/>
              </w:rPr>
              <w:t>.</w:t>
            </w:r>
          </w:p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Достоинства и недостатки методов макропруденциального стресс-тестирования </w:t>
            </w:r>
            <w:r>
              <w:rPr>
                <w:sz w:val="22"/>
                <w:szCs w:val="22"/>
                <w:lang w:val="en-US"/>
              </w:rPr>
              <w:t>bottom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up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en-US"/>
              </w:rPr>
              <w:t>top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down</w:t>
            </w:r>
          </w:p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Влияние надзорного стресс-тестирования на принятия банками риска (по материалам академических публикаций)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  <w:p w:rsidR="00A7124C" w:rsidRDefault="00D138DA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Изучение программ стресс-тестирования, которые реализуют зарубежные органы банковского надзора (например, в США и ЕС).</w:t>
            </w:r>
          </w:p>
          <w:p w:rsidR="00A7124C" w:rsidRDefault="00A7124C">
            <w:pPr>
              <w:pStyle w:val="Default"/>
              <w:widowControl w:val="0"/>
              <w:tabs>
                <w:tab w:val="left" w:pos="283"/>
              </w:tabs>
              <w:jc w:val="both"/>
              <w:rPr>
                <w:rFonts w:ascii="Times New Roman" w:hAnsi="Times New Roman"/>
                <w:color w:val="00B050"/>
                <w:sz w:val="22"/>
              </w:rPr>
            </w:pPr>
          </w:p>
        </w:tc>
      </w:tr>
      <w:tr w:rsidR="00A7124C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Меры по восстановлению финансовой устойчивости банков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Раннее выявление слабых банков с применением современных методов анализа данных (в т.ч. больших данных).</w:t>
            </w:r>
          </w:p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Критерии выбора метода санации слабого банка или принятия решения о его ликвидации (начале конкурсного производства).</w:t>
            </w:r>
          </w:p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Обзор Совета по финансовой стабильности о современной международной практике финансового оздоровления слабых банков</w:t>
            </w:r>
            <w:r>
              <w:rPr>
                <w:rStyle w:val="a9"/>
                <w:sz w:val="22"/>
                <w:szCs w:val="22"/>
              </w:rPr>
              <w:footnoteReference w:id="17"/>
            </w:r>
            <w:r>
              <w:rPr>
                <w:sz w:val="22"/>
                <w:szCs w:val="22"/>
              </w:rPr>
              <w:t>.</w:t>
            </w:r>
          </w:p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Обзор российских и зарубежных публикаций по вопросам причин возникновения слабых банков.</w:t>
            </w:r>
          </w:p>
          <w:p w:rsidR="00A7124C" w:rsidRDefault="00A7124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  <w:p w:rsidR="00A7124C" w:rsidRDefault="00D138DA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Обзор академических публикаций по вопросам причин возникновения слабых банков и их раннего выявления </w:t>
            </w:r>
          </w:p>
          <w:p w:rsidR="00A7124C" w:rsidRDefault="00D138DA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Обзор академических публикаций по вопросам методов санации слабых банков.</w:t>
            </w:r>
          </w:p>
        </w:tc>
      </w:tr>
      <w:tr w:rsidR="00A7124C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4. </w:t>
            </w:r>
            <w:r>
              <w:rPr>
                <w:sz w:val="22"/>
                <w:szCs w:val="22"/>
              </w:rPr>
              <w:lastRenderedPageBreak/>
              <w:t>Российский и зарубежный опыт антикризисного управления банками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Сравнительный анализ деятельности банков </w:t>
            </w:r>
            <w:r>
              <w:rPr>
                <w:sz w:val="22"/>
                <w:szCs w:val="22"/>
              </w:rPr>
              <w:lastRenderedPageBreak/>
              <w:t>непрофильных активов в разных странах, в т.ч. в России.</w:t>
            </w:r>
          </w:p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статистических данных о результатах санации и ликвидации банков для оценки затрат общества на решение проблемы слабого банка в зависимости от выбранного метода санации (ликвидации).</w:t>
            </w:r>
          </w:p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структуры и содержания ПВФУ на примере зарубежных банков.</w:t>
            </w:r>
          </w:p>
          <w:p w:rsidR="00A7124C" w:rsidRDefault="00D138DA">
            <w:pPr>
              <w:pStyle w:val="34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и рекомендации зарубежных органов банковского надзора в области разработки и публикации ПВФУ (структура, минимальный перечень индикаторов и т.п.).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24C" w:rsidRDefault="00D138DA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Подготовка к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обсуждению вопросов темы в форме дискуссии.</w:t>
            </w:r>
          </w:p>
          <w:p w:rsidR="00A7124C" w:rsidRDefault="00D138DA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Обзор академических публикаций по теме.</w:t>
            </w:r>
          </w:p>
          <w:p w:rsidR="00A7124C" w:rsidRDefault="00D138DA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Поиск и изучение ПВФУ зарубежных банков.</w:t>
            </w:r>
          </w:p>
        </w:tc>
      </w:tr>
    </w:tbl>
    <w:p w:rsidR="00A7124C" w:rsidRDefault="00A7124C">
      <w:pPr>
        <w:spacing w:line="360" w:lineRule="auto"/>
        <w:jc w:val="both"/>
        <w:rPr>
          <w:sz w:val="24"/>
          <w:szCs w:val="24"/>
        </w:rPr>
      </w:pPr>
    </w:p>
    <w:p w:rsidR="00A7124C" w:rsidRDefault="00D138DA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10" w:name="_Toc119582450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0"/>
    </w:p>
    <w:p w:rsidR="00A7124C" w:rsidRDefault="00D138DA">
      <w:pPr>
        <w:pStyle w:val="af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Примерный перечень тем эссе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Макроэкономический подход к объяснению причин кризиса в банковском секторе экономики</w:t>
      </w:r>
      <w:r>
        <w:rPr>
          <w:b w:val="0"/>
        </w:rPr>
        <w:t>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Факторы кризисных явлений в банковском секторе экономики.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Финансовая глобализация как фактор банковских кризисов.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</w:rPr>
        <w:t xml:space="preserve">Содержание индикаторов </w:t>
      </w:r>
      <w:r>
        <w:rPr>
          <w:b w:val="0"/>
          <w:szCs w:val="28"/>
        </w:rPr>
        <w:t>кризисных явлений банковской системы.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Основные подходы к раннему обнаружению банковских кризисов.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Признаки системного банковского кризиса в модели Демиргук-Кунт и Детрагиаше.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Сигнальная модель выявления приближающегося банковского </w:t>
      </w:r>
      <w:r>
        <w:rPr>
          <w:b w:val="0"/>
        </w:rPr>
        <w:t>кризиса</w:t>
      </w:r>
      <w:r>
        <w:rPr>
          <w:b w:val="0"/>
          <w:szCs w:val="28"/>
        </w:rPr>
        <w:t xml:space="preserve"> (Рейнхарт</w:t>
      </w:r>
      <w:r>
        <w:rPr>
          <w:b w:val="0"/>
        </w:rPr>
        <w:t>а</w:t>
      </w:r>
      <w:r>
        <w:rPr>
          <w:b w:val="0"/>
          <w:szCs w:val="28"/>
        </w:rPr>
        <w:t xml:space="preserve"> Камински).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</w:rPr>
        <w:t xml:space="preserve">Понятие и содержание </w:t>
      </w:r>
      <w:r>
        <w:rPr>
          <w:b w:val="0"/>
          <w:szCs w:val="28"/>
        </w:rPr>
        <w:t>антикризисного управления в банке.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Реактивная модель антикризисного управления на банковском микроуровне.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Органы управления, руководители, подразделения, задействованные в антикризисном управлении (состав, полномочия).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</w:rPr>
      </w:pPr>
      <w:r>
        <w:rPr>
          <w:b w:val="0"/>
          <w:szCs w:val="28"/>
        </w:rPr>
        <w:t>Стрессовое тестирование в системе антикризисного управления банком и банковским сектором экономики</w:t>
      </w:r>
      <w:r>
        <w:rPr>
          <w:b w:val="0"/>
        </w:rPr>
        <w:t>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Содержание стресс-тестирования (понятие, назначение, достоинства и недостатки) в банке и надзорной деятельности.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Понятие и виды стресс-тестирования.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Этапы проведения стресс-тестирования.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Элементы стресс-тестирования и их характеристика.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Использование стресс-тестирования в практике Банка России (виды, параметры стресс-тестов).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</w:rPr>
      </w:pPr>
      <w:r>
        <w:rPr>
          <w:b w:val="0"/>
          <w:szCs w:val="28"/>
        </w:rPr>
        <w:t>Понятие слабого банка и основные причины появления слабого банка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Принципы работы со слабыми банками.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Рыночные механизмы санации банков: предпосылки применения, виды, преимущества.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Нерыночные механизмы санации банков: предпосылки применения, виды.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Реорганизация как форма восстановления финансовой устойчивости коммерческого банка.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Базовые параметры Единого механизма санации банков в странах Европейского Экономического и Валютного Союза.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Базовый принцип и основные рекомендации Международной Ассоциации Страховщиков Депозитов по работе со слабыми банками.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Назначение плана восстановления финансовой устойчивости банка и основные требования к его содержанию.</w:t>
      </w:r>
    </w:p>
    <w:p w:rsidR="00A7124C" w:rsidRDefault="00D138DA">
      <w:pPr>
        <w:pStyle w:val="af5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Основные подходы к финансовому оздоровлению проблемных банков в российской практике</w:t>
      </w:r>
    </w:p>
    <w:p w:rsidR="00A7124C" w:rsidRDefault="00A7124C">
      <w:pPr>
        <w:pStyle w:val="af5"/>
        <w:spacing w:line="360" w:lineRule="auto"/>
        <w:ind w:firstLine="709"/>
        <w:jc w:val="both"/>
        <w:rPr>
          <w:b w:val="0"/>
          <w:szCs w:val="28"/>
        </w:rPr>
      </w:pPr>
    </w:p>
    <w:p w:rsidR="00A7124C" w:rsidRDefault="00D138DA">
      <w:pPr>
        <w:pStyle w:val="af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Практико-ориентированное задание</w:t>
      </w:r>
      <w:r>
        <w:t>.</w:t>
      </w:r>
    </w:p>
    <w:p w:rsidR="00A7124C" w:rsidRDefault="00D138DA">
      <w:pPr>
        <w:pStyle w:val="af5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На основе материалов реального банка и сведений из открытых источников требуется изучить </w:t>
      </w:r>
      <w:r>
        <w:rPr>
          <w:b w:val="0"/>
        </w:rPr>
        <w:t xml:space="preserve">предпосылки </w:t>
      </w:r>
      <w:r>
        <w:rPr>
          <w:b w:val="0"/>
          <w:szCs w:val="28"/>
        </w:rPr>
        <w:t xml:space="preserve">кризисных явлений и </w:t>
      </w:r>
      <w:r>
        <w:rPr>
          <w:b w:val="0"/>
        </w:rPr>
        <w:t>санации (ликвидации) банка</w:t>
      </w:r>
      <w:r>
        <w:rPr>
          <w:b w:val="0"/>
          <w:szCs w:val="28"/>
        </w:rPr>
        <w:t>, причины выбора пути решения проблемы данного слабого банка, оценить степень эффективности выбранной тактики действий.</w:t>
      </w:r>
    </w:p>
    <w:p w:rsidR="00A7124C" w:rsidRDefault="00D138DA">
      <w:pPr>
        <w:pStyle w:val="af5"/>
        <w:spacing w:line="360" w:lineRule="auto"/>
        <w:ind w:firstLine="709"/>
        <w:jc w:val="both"/>
        <w:rPr>
          <w:b w:val="0"/>
        </w:rPr>
      </w:pPr>
      <w:r>
        <w:rPr>
          <w:b w:val="0"/>
          <w:szCs w:val="28"/>
          <w:u w:val="single"/>
        </w:rPr>
        <w:t>Последовательность</w:t>
      </w:r>
      <w:r>
        <w:rPr>
          <w:b w:val="0"/>
          <w:szCs w:val="28"/>
        </w:rPr>
        <w:t xml:space="preserve"> выполнения практико-ориентированного задания </w:t>
      </w:r>
      <w:r>
        <w:rPr>
          <w:b w:val="0"/>
        </w:rPr>
        <w:t>на материалах российского банка.</w:t>
      </w:r>
    </w:p>
    <w:p w:rsidR="00A7124C" w:rsidRDefault="00D138DA">
      <w:pPr>
        <w:pStyle w:val="afe"/>
        <w:widowControl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открытых источников проследить историю санации (или конкурсного производства или ликвидации) по хронологии событий</w:t>
      </w:r>
      <w:r>
        <w:rPr>
          <w:sz w:val="28"/>
        </w:rPr>
        <w:t>.</w:t>
      </w:r>
    </w:p>
    <w:p w:rsidR="00A7124C" w:rsidRDefault="00D138DA">
      <w:pPr>
        <w:pStyle w:val="afe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Предпосылки и причины возникновения ситуации слабого банка.</w:t>
      </w:r>
    </w:p>
    <w:p w:rsidR="00A7124C" w:rsidRDefault="00D138DA">
      <w:pPr>
        <w:pStyle w:val="afe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мер надзорного реагирования (когда и какие меры).</w:t>
      </w:r>
    </w:p>
    <w:p w:rsidR="00A7124C" w:rsidRDefault="00D138DA">
      <w:pPr>
        <w:pStyle w:val="afe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выбранной тактики действия с выбранным банком.</w:t>
      </w:r>
    </w:p>
    <w:p w:rsidR="00A7124C" w:rsidRDefault="00D138DA">
      <w:pPr>
        <w:pStyle w:val="afe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  <w:szCs w:val="28"/>
        </w:rPr>
        <w:t>Анализ выделенной финансовой помощи (объем, тип помощи, условия, срок выделения; если было несколько траншей, то описать каждый; срок возврата).</w:t>
      </w:r>
    </w:p>
    <w:p w:rsidR="00A7124C" w:rsidRDefault="00D138DA">
      <w:pPr>
        <w:pStyle w:val="afe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>[для конкурсного производства]</w:t>
      </w:r>
      <w:r>
        <w:rPr>
          <w:sz w:val="28"/>
          <w:szCs w:val="28"/>
        </w:rPr>
        <w:t xml:space="preserve"> Объем обязательств АСВ перед застрахованными вкладчиками, объем выплат и остаток к выплате, доля выплат в процентах от активов банка накануне принятия мер надзорного реагирования.</w:t>
      </w:r>
    </w:p>
    <w:p w:rsidR="00A7124C" w:rsidRDefault="00D138DA">
      <w:pPr>
        <w:pStyle w:val="afe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>[для конкурсного производства]</w:t>
      </w:r>
      <w:r>
        <w:rPr>
          <w:sz w:val="28"/>
          <w:szCs w:val="28"/>
        </w:rPr>
        <w:t xml:space="preserve"> Анализ реестра кредиторов (объем требований, доля от обязательств банка перед всеми кредиторами накануне принятия мер надзорного реагирования).</w:t>
      </w:r>
    </w:p>
    <w:p w:rsidR="00A7124C" w:rsidRDefault="00D138DA">
      <w:pPr>
        <w:pStyle w:val="afe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[для конкурсного производства] </w:t>
      </w:r>
      <w:r>
        <w:rPr>
          <w:sz w:val="28"/>
          <w:szCs w:val="28"/>
        </w:rPr>
        <w:t>Анализ использования конкурсной массы (объем вырученных средств, структура ее использования и выявление наиболее крупных трат с попыткой оценить их обоснованность, объем выплат кредиторам, процент удовлетворения их требований)</w:t>
      </w:r>
    </w:p>
    <w:p w:rsidR="00A7124C" w:rsidRDefault="00D138DA">
      <w:pPr>
        <w:pStyle w:val="afe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Прочие важные события.</w:t>
      </w:r>
    </w:p>
    <w:p w:rsidR="00A7124C" w:rsidRDefault="00D138DA">
      <w:pPr>
        <w:pStyle w:val="afe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завершения конкурсного производства или санации.</w:t>
      </w:r>
    </w:p>
    <w:p w:rsidR="00A7124C" w:rsidRDefault="00D138DA">
      <w:pPr>
        <w:pStyle w:val="afe"/>
        <w:widowControl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[для санации] </w:t>
      </w:r>
      <w:r>
        <w:rPr>
          <w:sz w:val="28"/>
          <w:szCs w:val="28"/>
        </w:rPr>
        <w:t>Описание программы и</w:t>
      </w:r>
      <w:r>
        <w:rPr>
          <w:sz w:val="28"/>
        </w:rPr>
        <w:t xml:space="preserve"> </w:t>
      </w:r>
      <w:r>
        <w:rPr>
          <w:sz w:val="28"/>
          <w:szCs w:val="28"/>
        </w:rPr>
        <w:t>тактики санации и причин выбора именно такого варианта.</w:t>
      </w:r>
    </w:p>
    <w:p w:rsidR="00A7124C" w:rsidRDefault="00D138DA">
      <w:pPr>
        <w:pStyle w:val="afe"/>
        <w:widowControl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базовых финансовых показателей накануне принятия мер надзорного реагирования.</w:t>
      </w:r>
    </w:p>
    <w:p w:rsidR="00A7124C" w:rsidRDefault="00D138DA">
      <w:pPr>
        <w:pStyle w:val="afe"/>
        <w:widowControl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[для санации] </w:t>
      </w:r>
      <w:r>
        <w:rPr>
          <w:sz w:val="28"/>
          <w:szCs w:val="28"/>
        </w:rPr>
        <w:t xml:space="preserve">Сравнительный анализ ключевых финансовых показателей накануне и сразу после начала санации, а также сравнение показателей работы банка со средними показателями по группе сопоставимых банков на текущую дату (объем и структура активов и обязательств, величина балансового и регуляторного капитала, показатели рентабельности активов </w:t>
      </w:r>
      <w:r>
        <w:rPr>
          <w:sz w:val="28"/>
          <w:szCs w:val="28"/>
          <w:lang w:val="en-US"/>
        </w:rPr>
        <w:t>ROA</w:t>
      </w:r>
      <w:r>
        <w:rPr>
          <w:sz w:val="28"/>
          <w:szCs w:val="28"/>
        </w:rPr>
        <w:t xml:space="preserve"> и балансового капитала </w:t>
      </w:r>
      <w:r>
        <w:rPr>
          <w:sz w:val="28"/>
          <w:szCs w:val="28"/>
          <w:lang w:val="en-US"/>
        </w:rPr>
        <w:t>ROE</w:t>
      </w:r>
      <w:r>
        <w:rPr>
          <w:sz w:val="28"/>
          <w:szCs w:val="28"/>
        </w:rPr>
        <w:t>, нормативы достаточности капитала, доля просроченных ссуд в кредитном портфеле, норматив ликвидности Н2, Н3 и Н4 и др.).</w:t>
      </w:r>
    </w:p>
    <w:p w:rsidR="00A7124C" w:rsidRDefault="00D138DA">
      <w:pPr>
        <w:pStyle w:val="afe"/>
        <w:widowControl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Совокупный объем расходов АСВ и ЦБ РФ на санацию, в % от активов банка накануне санации (выплаты застрахованным вкладчикам, размещенные депозиты, предоставленные кредиты, расходы на покупку акций банка и пр.).</w:t>
      </w:r>
    </w:p>
    <w:p w:rsidR="00A7124C" w:rsidRDefault="00D138DA">
      <w:pPr>
        <w:pStyle w:val="af5"/>
        <w:spacing w:line="360" w:lineRule="auto"/>
        <w:ind w:left="57"/>
        <w:jc w:val="both"/>
        <w:rPr>
          <w:b w:val="0"/>
          <w:szCs w:val="28"/>
        </w:rPr>
      </w:pPr>
      <w:r>
        <w:rPr>
          <w:b w:val="0"/>
          <w:szCs w:val="28"/>
        </w:rPr>
        <w:t>Результаты представить в виде письменного заключения (фай формата .docx с титульным листом по образцу ниже), а также расчеты в виде файла формата .xlsx.</w:t>
      </w:r>
    </w:p>
    <w:p w:rsidR="00A7124C" w:rsidRDefault="00A7124C">
      <w:pPr>
        <w:pStyle w:val="af5"/>
        <w:spacing w:line="360" w:lineRule="auto"/>
        <w:ind w:firstLine="709"/>
        <w:jc w:val="both"/>
        <w:rPr>
          <w:szCs w:val="28"/>
        </w:rPr>
      </w:pPr>
    </w:p>
    <w:p w:rsidR="00A7124C" w:rsidRDefault="00D138DA">
      <w:pPr>
        <w:pStyle w:val="af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Проведение дебатов</w:t>
      </w:r>
    </w:p>
    <w:p w:rsidR="00A7124C" w:rsidRDefault="00D138DA">
      <w:pPr>
        <w:pStyle w:val="af5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Для участия в дебатах студенты группы делятся на 2 команды, примерно равные по численности. В каждой команде выбирается капитан, отвечающий за обобщение собранных членами команды материалов и выдвинутых ими аргументов, а также за общение с преподавателем, ведущим семинарские занятия.</w:t>
      </w:r>
    </w:p>
    <w:p w:rsidR="00A7124C" w:rsidRDefault="00D138DA">
      <w:pPr>
        <w:pStyle w:val="af5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Распределение обязанностей в команде остается на усмотрение студентов. Рекомендуется выделить 2-3 человек для поиска материалов. Собранные материалы распределяются для внимательного и критического чтения между всеми участниками команды. Каждый участник команды готовит (независимо друг от друга) аргументы в защиту позиции и контраргументы (вопросы) к точке зрения оппонентов. Затем все обмениваются идеями. Капитан команды обобщает их и готовит проект выступления. Все члены команды выбирают наиболее удачные вопросы для участия в дискуссии.</w:t>
      </w:r>
    </w:p>
    <w:p w:rsidR="00A7124C" w:rsidRDefault="00A7124C">
      <w:pPr>
        <w:rPr>
          <w:sz w:val="28"/>
          <w:szCs w:val="28"/>
        </w:rPr>
      </w:pPr>
    </w:p>
    <w:p w:rsidR="00A7124C" w:rsidRDefault="00A7124C">
      <w:pPr>
        <w:rPr>
          <w:b/>
          <w:sz w:val="28"/>
          <w:szCs w:val="28"/>
        </w:rPr>
      </w:pPr>
    </w:p>
    <w:p w:rsidR="00A7124C" w:rsidRDefault="00D138DA">
      <w:pPr>
        <w:spacing w:line="360" w:lineRule="auto"/>
        <w:ind w:firstLine="709"/>
        <w:jc w:val="both"/>
        <w:rPr>
          <w:rFonts w:eastAsia="MS Mincho"/>
          <w:b/>
          <w:bCs/>
          <w:color w:val="000000"/>
          <w:sz w:val="28"/>
          <w:szCs w:val="28"/>
        </w:rPr>
      </w:pPr>
      <w:r>
        <w:rPr>
          <w:rFonts w:eastAsia="MS Mincho"/>
          <w:b/>
          <w:bCs/>
          <w:color w:val="000000"/>
          <w:sz w:val="28"/>
          <w:szCs w:val="28"/>
        </w:rPr>
        <w:t>Примерный перечень тем для дискуссий.</w:t>
      </w:r>
    </w:p>
    <w:p w:rsidR="00A7124C" w:rsidRDefault="00D138DA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Модели антикризисного управления в коммерческом банке и их характеристика. </w:t>
      </w:r>
    </w:p>
    <w:p w:rsidR="00A7124C" w:rsidRDefault="00D138DA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Международный опыт стрессового тестирования в кредитных организациях. Роль регуляторов в организации стресс-тестирования.</w:t>
      </w:r>
    </w:p>
    <w:p w:rsidR="00A7124C" w:rsidRDefault="00D138DA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Практика стресс-тестирования Банка России, ее развитие.</w:t>
      </w:r>
    </w:p>
    <w:p w:rsidR="00A7124C" w:rsidRDefault="00D138DA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Планы восстановления финансовой устойчивости кредитных организаций и требования Банка России по их разработке.</w:t>
      </w:r>
    </w:p>
    <w:p w:rsidR="00A7124C" w:rsidRDefault="00D138DA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</w:rPr>
      </w:pPr>
      <w:r>
        <w:rPr>
          <w:rFonts w:eastAsia="Calibri"/>
          <w:sz w:val="28"/>
          <w:szCs w:val="28"/>
        </w:rPr>
        <w:t xml:space="preserve">Реорганизация кредитных организаций на основе слияний и присоединений. Анализ </w:t>
      </w:r>
      <w:r>
        <w:rPr>
          <w:rFonts w:eastAsia="Calibri"/>
          <w:sz w:val="28"/>
        </w:rPr>
        <w:t>практических примеров</w:t>
      </w:r>
      <w:r>
        <w:rPr>
          <w:rFonts w:eastAsia="Calibri"/>
          <w:sz w:val="28"/>
          <w:szCs w:val="28"/>
          <w:lang w:eastAsia="x-none"/>
        </w:rPr>
        <w:t xml:space="preserve"> из</w:t>
      </w:r>
      <w:r>
        <w:rPr>
          <w:rFonts w:eastAsia="Calibri"/>
          <w:sz w:val="28"/>
          <w:szCs w:val="28"/>
        </w:rPr>
        <w:t xml:space="preserve"> российской практики.</w:t>
      </w:r>
    </w:p>
    <w:p w:rsidR="00A7124C" w:rsidRDefault="00D138DA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Опыт различных стран в области антикризисного управления кредитными организациями.</w:t>
      </w:r>
    </w:p>
    <w:p w:rsidR="00A7124C" w:rsidRDefault="00D138DA">
      <w:pPr>
        <w:tabs>
          <w:tab w:val="left" w:pos="-180"/>
        </w:tabs>
        <w:ind w:right="7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:rsidR="00A7124C" w:rsidRDefault="00D138DA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bookmarkStart w:id="11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  <w:bookmarkEnd w:id="11"/>
    </w:p>
    <w:p w:rsidR="00A7124C" w:rsidRDefault="00A7124C">
      <w:pPr>
        <w:pStyle w:val="aff3"/>
        <w:shd w:val="clear" w:color="auto" w:fill="FFFFFF"/>
        <w:spacing w:line="360" w:lineRule="auto"/>
        <w:jc w:val="both"/>
        <w:rPr>
          <w:bCs/>
          <w:i/>
          <w:sz w:val="28"/>
          <w:szCs w:val="28"/>
        </w:rPr>
      </w:pPr>
    </w:p>
    <w:p w:rsidR="00A7124C" w:rsidRDefault="00A7124C">
      <w:pPr>
        <w:spacing w:line="360" w:lineRule="auto"/>
        <w:ind w:firstLine="360"/>
        <w:jc w:val="both"/>
        <w:rPr>
          <w:b/>
          <w:sz w:val="28"/>
          <w:szCs w:val="28"/>
        </w:rPr>
      </w:pPr>
    </w:p>
    <w:p w:rsidR="00A7124C" w:rsidRDefault="00D138DA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2" w:name="_Toc119582451"/>
      <w:r>
        <w:rPr>
          <w:rFonts w:ascii="Times New Roman" w:hAnsi="Times New Roman" w:cs="Times New Roman"/>
          <w:bCs w:val="0"/>
          <w:color w:val="auto"/>
        </w:rPr>
        <w:t>7. Фонд оценочных средств для проведения промежуточной аттестации обучающихся по дисциплине</w:t>
      </w:r>
      <w:bookmarkEnd w:id="12"/>
    </w:p>
    <w:p w:rsidR="00A7124C" w:rsidRDefault="00D138DA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A7124C" w:rsidRDefault="00D138DA">
      <w:pPr>
        <w:spacing w:line="360" w:lineRule="auto"/>
        <w:ind w:firstLine="709"/>
        <w:jc w:val="both"/>
        <w:rPr>
          <w:sz w:val="28"/>
          <w:szCs w:val="28"/>
        </w:rPr>
        <w:sectPr w:rsidR="00A7124C">
          <w:footerReference w:type="default" r:id="rId9"/>
          <w:pgSz w:w="11906" w:h="16838"/>
          <w:pgMar w:top="1134" w:right="567" w:bottom="1134" w:left="1134" w:header="0" w:footer="709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A7124C" w:rsidRDefault="00D138DA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</w:t>
      </w:r>
    </w:p>
    <w:p w:rsidR="00A7124C" w:rsidRDefault="00D138D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3" w:name="_Hlk25255353"/>
      <w:bookmarkEnd w:id="13"/>
    </w:p>
    <w:p w:rsidR="00A7124C" w:rsidRDefault="00A7124C">
      <w:pPr>
        <w:rPr>
          <w:b/>
          <w:sz w:val="28"/>
          <w:szCs w:val="28"/>
        </w:rPr>
      </w:pPr>
    </w:p>
    <w:tbl>
      <w:tblPr>
        <w:tblStyle w:val="aff7"/>
        <w:tblW w:w="14899" w:type="dxa"/>
        <w:tblLayout w:type="fixed"/>
        <w:tblLook w:val="04A0" w:firstRow="1" w:lastRow="0" w:firstColumn="1" w:lastColumn="0" w:noHBand="0" w:noVBand="1"/>
      </w:tblPr>
      <w:tblGrid>
        <w:gridCol w:w="2973"/>
        <w:gridCol w:w="2543"/>
        <w:gridCol w:w="3126"/>
        <w:gridCol w:w="6257"/>
      </w:tblGrid>
      <w:tr w:rsidR="00A7124C">
        <w:trPr>
          <w:tblHeader/>
        </w:trPr>
        <w:tc>
          <w:tcPr>
            <w:tcW w:w="2972" w:type="dxa"/>
          </w:tcPr>
          <w:p w:rsidR="00A7124C" w:rsidRDefault="00D138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43" w:type="dxa"/>
          </w:tcPr>
          <w:p w:rsidR="00A7124C" w:rsidRDefault="00D138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126" w:type="dxa"/>
          </w:tcPr>
          <w:p w:rsidR="00A7124C" w:rsidRDefault="00D138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6257" w:type="dxa"/>
          </w:tcPr>
          <w:p w:rsidR="00A7124C" w:rsidRDefault="00D138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A7124C">
        <w:tc>
          <w:tcPr>
            <w:tcW w:w="2972" w:type="dxa"/>
            <w:vMerge w:val="restart"/>
          </w:tcPr>
          <w:p w:rsidR="00A7124C" w:rsidRDefault="00D138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</w:t>
            </w:r>
          </w:p>
          <w:p w:rsidR="00A7124C" w:rsidRDefault="00D138DA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2543" w:type="dxa"/>
          </w:tcPr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:rsidR="00A7124C" w:rsidRDefault="00A7124C">
            <w:pPr>
              <w:rPr>
                <w:sz w:val="24"/>
                <w:szCs w:val="24"/>
              </w:rPr>
            </w:pPr>
          </w:p>
        </w:tc>
        <w:tc>
          <w:tcPr>
            <w:tcW w:w="3126" w:type="dxa"/>
          </w:tcPr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индикаторы-предвестники банковского кризиса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причины превращения банка в финансовой неустойчивый (проблемный);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основные принципы финансового оздоровления банка;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находить и обобщать информацию, необходимую для проведения анализа и оценки финансового состояния и выявления потенциально проблемного банка;</w:t>
            </w:r>
          </w:p>
          <w:p w:rsidR="00A7124C" w:rsidRDefault="00A7124C">
            <w:pPr>
              <w:rPr>
                <w:sz w:val="24"/>
                <w:szCs w:val="24"/>
              </w:rPr>
            </w:pPr>
          </w:p>
        </w:tc>
        <w:tc>
          <w:tcPr>
            <w:tcW w:w="6257" w:type="dxa"/>
          </w:tcPr>
          <w:p w:rsidR="00A7124C" w:rsidRDefault="00D138DA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Задание 1</w:t>
            </w:r>
          </w:p>
          <w:p w:rsidR="00A7124C" w:rsidRDefault="00D138DA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 основании финансовой отчетности «Азиатско-Тихоокеанский Банк» (ПАО) и сообщений АСВ, Банка России и СМИ о ходе финансового оздоровления этого банка </w:t>
            </w:r>
            <w:r>
              <w:rPr>
                <w:sz w:val="22"/>
                <w:u w:val="single"/>
              </w:rPr>
              <w:t>необходимо</w:t>
            </w:r>
            <w:r>
              <w:rPr>
                <w:sz w:val="22"/>
              </w:rPr>
              <w:t>:</w:t>
            </w:r>
          </w:p>
          <w:p w:rsidR="00A7124C" w:rsidRDefault="00D138DA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проанализировать динамику основных индикаторов финансовой устойчивости накануне принятия решения о санации банка;</w:t>
            </w:r>
          </w:p>
          <w:p w:rsidR="00A7124C" w:rsidRDefault="00D138DA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определить объемы и формы оказания финансовой помощи банку;</w:t>
            </w:r>
          </w:p>
          <w:p w:rsidR="00A7124C" w:rsidRDefault="00D138DA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сравнить значения финансовых индикаторов до и после начала санации банка;</w:t>
            </w:r>
          </w:p>
          <w:p w:rsidR="00A7124C" w:rsidRDefault="00D138DA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сформулировать основные условия возможной продажи банка частному инвестору.</w:t>
            </w:r>
          </w:p>
          <w:p w:rsidR="00A7124C" w:rsidRDefault="00D138DA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Результаты вычислений и мотивированное суждение оформить в виде отчета.</w:t>
            </w:r>
          </w:p>
        </w:tc>
      </w:tr>
      <w:tr w:rsidR="00A7124C">
        <w:tc>
          <w:tcPr>
            <w:tcW w:w="2972" w:type="dxa"/>
            <w:vMerge/>
          </w:tcPr>
          <w:p w:rsidR="00A7124C" w:rsidRDefault="00A7124C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A7124C" w:rsidRDefault="00D138DA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</w:t>
            </w:r>
            <w:r>
              <w:rPr>
                <w:sz w:val="22"/>
                <w:szCs w:val="22"/>
              </w:rPr>
              <w:lastRenderedPageBreak/>
              <w:t>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126" w:type="dxa"/>
          </w:tcPr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  <w:p w:rsidR="00A7124C" w:rsidRDefault="00D138D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современные методы решения проблемы слабого банка (в т.ч. методы санации);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существующие способы передачи плохих активов с баланса проблемного банка;</w:t>
            </w:r>
          </w:p>
          <w:p w:rsidR="00A7124C" w:rsidRDefault="00D138D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уметь: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выбирать наиболее оптимальный способ решения проблемы слабого банка;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проводить оценку эффективности процедур конкурсного производства и санации слабого банка.</w:t>
            </w:r>
          </w:p>
          <w:p w:rsidR="00A7124C" w:rsidRDefault="00A7124C">
            <w:pPr>
              <w:rPr>
                <w:sz w:val="24"/>
                <w:szCs w:val="24"/>
              </w:rPr>
            </w:pPr>
          </w:p>
        </w:tc>
        <w:tc>
          <w:tcPr>
            <w:tcW w:w="6257" w:type="dxa"/>
          </w:tcPr>
          <w:p w:rsidR="00A7124C" w:rsidRDefault="00D138DA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:rsidR="00A7124C" w:rsidRDefault="00D138DA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Накануне принятия решения (12.08.2015) об отзыве лицензии у АКБ «Пробизнесбанк» его финансовое состояние характеризовалось следующими показателями:</w:t>
            </w:r>
          </w:p>
          <w:p w:rsidR="00A7124C" w:rsidRDefault="00D138DA">
            <w:pPr>
              <w:numPr>
                <w:ilvl w:val="0"/>
                <w:numId w:val="11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 01.08.15</w:t>
            </w:r>
          </w:p>
          <w:p w:rsidR="00A7124C" w:rsidRDefault="00D138DA">
            <w:pPr>
              <w:numPr>
                <w:ilvl w:val="0"/>
                <w:numId w:val="12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Активы ~ 136 млрд руб., регуляторный капитал ~ 12 млрд руб., обязательства ~ 126 млрд руб., в т.ч. вклады граждан ~ 27 млрд руб.</w:t>
            </w:r>
          </w:p>
          <w:p w:rsidR="00A7124C" w:rsidRDefault="00D138DA">
            <w:pPr>
              <w:numPr>
                <w:ilvl w:val="0"/>
                <w:numId w:val="12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Норматив Н1 = 11,3%, Н3 = 52%, доля просроченных ссуд = 15%, </w:t>
            </w:r>
          </w:p>
          <w:p w:rsidR="00A7124C" w:rsidRDefault="00D138DA">
            <w:pPr>
              <w:numPr>
                <w:ilvl w:val="0"/>
                <w:numId w:val="12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ROA=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,8%, </w:t>
            </w:r>
            <w:r>
              <w:rPr>
                <w:sz w:val="22"/>
                <w:szCs w:val="22"/>
                <w:lang w:val="en-US"/>
              </w:rPr>
              <w:t>ROE</w:t>
            </w:r>
            <w:r>
              <w:rPr>
                <w:sz w:val="22"/>
                <w:szCs w:val="22"/>
              </w:rPr>
              <w:t xml:space="preserve">= 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22%</w:t>
            </w:r>
          </w:p>
          <w:p w:rsidR="00A7124C" w:rsidRDefault="00D138DA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мнению Банка России, санация была нецелесообразна из-за низкого качества активов и большой величины дефицита капитала.</w:t>
            </w:r>
          </w:p>
          <w:p w:rsidR="00A7124C" w:rsidRDefault="00D138DA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основании финансовой отчетности АКБ «Пробизнесбанк» </w:t>
            </w:r>
            <w:r>
              <w:rPr>
                <w:sz w:val="22"/>
                <w:szCs w:val="22"/>
                <w:u w:val="single"/>
              </w:rPr>
              <w:t>необходимо</w:t>
            </w:r>
            <w:r>
              <w:rPr>
                <w:sz w:val="22"/>
                <w:szCs w:val="22"/>
              </w:rPr>
              <w:t>:</w:t>
            </w:r>
          </w:p>
          <w:p w:rsidR="00A7124C" w:rsidRDefault="00D138DA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проанализировать динамику основных индикаторов финансовой устойчивости на протяжении 3-х лет до принятия решения об отзыве у банка лицензии;</w:t>
            </w:r>
          </w:p>
          <w:p w:rsidR="00A7124C" w:rsidRDefault="00D138DA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выявить (возможность) те индикаторы, которые заранее сигнализировали о наличии проблем в деятельности банка;</w:t>
            </w:r>
          </w:p>
          <w:p w:rsidR="00A7124C" w:rsidRDefault="00D138DA">
            <w:pPr>
              <w:contextualSpacing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сформулировать и обосновать свое суждение относительно того, насколько было возможно выявить признаки проблем у банка на основании его финансовой отчетности.</w:t>
            </w:r>
          </w:p>
          <w:p w:rsidR="00A7124C" w:rsidRDefault="00D138DA">
            <w:pPr>
              <w:contextualSpacing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вычислений и </w:t>
            </w:r>
            <w:r>
              <w:rPr>
                <w:sz w:val="22"/>
              </w:rPr>
              <w:t>свое</w:t>
            </w:r>
            <w:r>
              <w:rPr>
                <w:sz w:val="22"/>
                <w:szCs w:val="22"/>
              </w:rPr>
              <w:t xml:space="preserve"> мотивированное суждение </w:t>
            </w:r>
            <w:r>
              <w:rPr>
                <w:sz w:val="22"/>
              </w:rPr>
              <w:t>обучающемуся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 xml:space="preserve">необходимо </w:t>
            </w:r>
            <w:r>
              <w:rPr>
                <w:sz w:val="22"/>
                <w:szCs w:val="22"/>
              </w:rPr>
              <w:t>оформить в виде отчета.</w:t>
            </w:r>
          </w:p>
          <w:p w:rsidR="00A7124C" w:rsidRDefault="00A7124C">
            <w:pPr>
              <w:rPr>
                <w:sz w:val="24"/>
                <w:szCs w:val="24"/>
              </w:rPr>
            </w:pPr>
          </w:p>
        </w:tc>
      </w:tr>
      <w:tr w:rsidR="00A7124C">
        <w:trPr>
          <w:trHeight w:val="3312"/>
        </w:trPr>
        <w:tc>
          <w:tcPr>
            <w:tcW w:w="2972" w:type="dxa"/>
          </w:tcPr>
          <w:p w:rsidR="00A7124C" w:rsidRDefault="00D138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</w:t>
            </w:r>
          </w:p>
          <w:p w:rsidR="00A7124C" w:rsidRDefault="00D138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процессы управления финансовыми рисками в институтах банковского сектора, в том числе, в чрезвычайной ситуации, антикризисного управления, использовать финансовую аналитику и современные технологии управления </w:t>
            </w:r>
          </w:p>
        </w:tc>
        <w:tc>
          <w:tcPr>
            <w:tcW w:w="2543" w:type="dxa"/>
          </w:tcPr>
          <w:p w:rsidR="00A7124C" w:rsidRDefault="00D138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Реализует процессы управления рисками участников финансового рынка, в том числе, в разных экономических условиях.</w:t>
            </w:r>
          </w:p>
          <w:p w:rsidR="00A7124C" w:rsidRDefault="00D138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 xml:space="preserve">Использует современные методы оценки финансовых и нефинансовых рисков, их ограничения, обосновывает выбор </w:t>
            </w:r>
            <w:r>
              <w:rPr>
                <w:sz w:val="24"/>
                <w:szCs w:val="24"/>
              </w:rPr>
              <w:lastRenderedPageBreak/>
              <w:t>инструментов хеджирования рисков.</w:t>
            </w:r>
          </w:p>
        </w:tc>
        <w:tc>
          <w:tcPr>
            <w:tcW w:w="3126" w:type="dxa"/>
          </w:tcPr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</w:p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</w:t>
            </w:r>
          </w:p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принципы организации антикризисного управления в коммерческих банках;</w:t>
            </w:r>
          </w:p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особенности методов и инструментов осуществления антикризисного управления в коммерческих банках; </w:t>
            </w:r>
          </w:p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подходы регуляторного органа при обнаружении кризисных явлений в коммерческих банках и его реакцию на предпринимаемые ими меры по их устранению. </w:t>
            </w:r>
          </w:p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lastRenderedPageBreak/>
              <w:t>уметь</w:t>
            </w:r>
            <w:r>
              <w:rPr>
                <w:sz w:val="22"/>
                <w:szCs w:val="22"/>
              </w:rPr>
              <w:t>:</w:t>
            </w:r>
          </w:p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оценивать признаки раннего обнаружения кризисных явлений;</w:t>
            </w:r>
          </w:p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классифицировать финансовые риски по степени их влияния на кризисную ситуацию;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предлагать меры и инструменты антикризисного управления.</w:t>
            </w:r>
          </w:p>
          <w:p w:rsidR="00A7124C" w:rsidRDefault="00A7124C">
            <w:pPr>
              <w:rPr>
                <w:i/>
                <w:sz w:val="22"/>
                <w:szCs w:val="22"/>
              </w:rPr>
            </w:pPr>
          </w:p>
          <w:p w:rsidR="00A7124C" w:rsidRDefault="00D13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A7124C" w:rsidRDefault="00D138D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особенности современных методов оценки коммерческими банками рисков, создающих кризисные ситуации;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принципы анализа эффективности антикризисных мер при их выборе. </w:t>
            </w:r>
          </w:p>
          <w:p w:rsidR="00A7124C" w:rsidRDefault="00D138D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применять инструменты антикризисного управления в зависимости от степени выявления кризисных факторов;</w:t>
            </w:r>
          </w:p>
          <w:p w:rsidR="00A7124C" w:rsidRDefault="00D138DA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  предлагать конкретные меры при разработке стратегии антикризисного управления.</w:t>
            </w:r>
          </w:p>
        </w:tc>
        <w:tc>
          <w:tcPr>
            <w:tcW w:w="6257" w:type="dxa"/>
          </w:tcPr>
          <w:p w:rsidR="00A7124C" w:rsidRDefault="00D138DA">
            <w:pPr>
              <w:tabs>
                <w:tab w:val="left" w:pos="108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 1</w:t>
            </w:r>
          </w:p>
          <w:p w:rsidR="00A7124C" w:rsidRDefault="00D138DA">
            <w:pPr>
              <w:tabs>
                <w:tab w:val="left" w:pos="1080"/>
              </w:tabs>
              <w:ind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финансовой отчетности банка «Траст», аудиторский заключений к ней, а также сообщений СМИ и официальных лиц необходимо:</w:t>
            </w:r>
          </w:p>
          <w:p w:rsidR="00A7124C" w:rsidRDefault="00D138DA">
            <w:pPr>
              <w:pStyle w:val="afe"/>
              <w:numPr>
                <w:ilvl w:val="0"/>
                <w:numId w:val="13"/>
              </w:numPr>
              <w:tabs>
                <w:tab w:val="left" w:pos="1080"/>
              </w:tabs>
              <w:ind w:left="0"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проанализировать финансовое состояние банка в период его деятельности как «банка плохих активов» на основании традиционных финансовых индикаторов;</w:t>
            </w:r>
          </w:p>
          <w:p w:rsidR="00A7124C" w:rsidRDefault="00D138DA">
            <w:pPr>
              <w:pStyle w:val="afe"/>
              <w:numPr>
                <w:ilvl w:val="0"/>
                <w:numId w:val="13"/>
              </w:numPr>
              <w:tabs>
                <w:tab w:val="left" w:pos="1080"/>
              </w:tabs>
              <w:ind w:left="0"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оценить заявления официальных лиц о сроках урегулирования проблемных активов и величине процента возвращенной стоимости (</w:t>
            </w:r>
            <w:r>
              <w:rPr>
                <w:sz w:val="22"/>
                <w:szCs w:val="22"/>
                <w:lang w:val="en-US"/>
              </w:rPr>
              <w:t>recovery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rate</w:t>
            </w:r>
            <w:r>
              <w:rPr>
                <w:sz w:val="22"/>
                <w:szCs w:val="22"/>
              </w:rPr>
              <w:t>);</w:t>
            </w:r>
          </w:p>
          <w:p w:rsidR="00A7124C" w:rsidRDefault="00D138DA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вычислений и мотивированное суждение оформить в виде аналитической записки</w:t>
            </w:r>
          </w:p>
          <w:p w:rsidR="00A7124C" w:rsidRDefault="00A7124C">
            <w:pPr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D138DA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A7124C" w:rsidRDefault="00D138DA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Требуется проанализировать:</w:t>
            </w:r>
          </w:p>
          <w:p w:rsidR="00A7124C" w:rsidRDefault="00D138DA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структуру риск-взвешенных активов (РВА) по типу риска категорий российских банков (по крупности активов, по типу собственника); </w:t>
            </w:r>
          </w:p>
          <w:p w:rsidR="00A7124C" w:rsidRDefault="00D138DA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значение и динамику показателей достаточности и величину свободного буфера (запаса) капитала категорий российских банков(по крупности активов, по типу собственника)</w:t>
            </w:r>
          </w:p>
          <w:p w:rsidR="00A7124C" w:rsidRDefault="00D138DA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данных портала банковского аналитика. В связи с ограничениями на раскрытие банковской отчетности допустимо использовать данные на 31.12.2021 и более ранние отчетные даты</w:t>
            </w:r>
          </w:p>
          <w:p w:rsidR="00A7124C" w:rsidRDefault="00A7124C">
            <w:pPr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A7124C">
        <w:trPr>
          <w:trHeight w:val="7638"/>
        </w:trPr>
        <w:tc>
          <w:tcPr>
            <w:tcW w:w="2972" w:type="dxa"/>
          </w:tcPr>
          <w:p w:rsidR="00A7124C" w:rsidRDefault="00D138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ПК-2</w:t>
            </w:r>
          </w:p>
          <w:p w:rsidR="00A7124C" w:rsidRDefault="00D138DA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Способность определять и декомпозировать цели и задачи подразделения – «Блок риски» в соответствии со стратегическими целями банка</w:t>
            </w:r>
          </w:p>
        </w:tc>
        <w:tc>
          <w:tcPr>
            <w:tcW w:w="2543" w:type="dxa"/>
          </w:tcPr>
          <w:p w:rsidR="00A7124C" w:rsidRDefault="00D138DA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рынка.</w:t>
            </w:r>
          </w:p>
        </w:tc>
        <w:tc>
          <w:tcPr>
            <w:tcW w:w="3126" w:type="dxa"/>
          </w:tcPr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- содержание основных моделей раннего выявления банковского кризиса;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 интерпретировать результаты вычисления прогнозных показателей деятельности банка и предлагать меры для их корректировки;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объяснять значения и динамику сводных опережающих индикаторов банковского кризиса и иных индикаторов финансового стресса;</w:t>
            </w:r>
          </w:p>
          <w:p w:rsidR="00A7124C" w:rsidRDefault="00A7124C">
            <w:pPr>
              <w:rPr>
                <w:sz w:val="24"/>
                <w:szCs w:val="24"/>
              </w:rPr>
            </w:pPr>
          </w:p>
        </w:tc>
        <w:tc>
          <w:tcPr>
            <w:tcW w:w="6257" w:type="dxa"/>
          </w:tcPr>
          <w:p w:rsidR="00A7124C" w:rsidRDefault="00D138DA">
            <w:pPr>
              <w:tabs>
                <w:tab w:val="left" w:pos="540"/>
              </w:tabs>
              <w:ind w:firstLine="34"/>
              <w:contextualSpacing/>
              <w:jc w:val="center"/>
              <w:rPr>
                <w:b/>
                <w:sz w:val="28"/>
                <w:szCs w:val="28"/>
              </w:rPr>
            </w:pPr>
            <w:r>
              <w:t>Задание 1</w:t>
            </w:r>
          </w:p>
          <w:p w:rsidR="00A7124C" w:rsidRDefault="00D138DA">
            <w:pPr>
              <w:ind w:left="21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графика, отражающему динамику сводного опережающего индикатора (СОИ) возникновения риск-события:</w:t>
            </w:r>
          </w:p>
          <w:p w:rsidR="00A7124C" w:rsidRDefault="00D138DA">
            <w:pPr>
              <w:numPr>
                <w:ilvl w:val="0"/>
                <w:numId w:val="17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определите изучаемое риск-событие; </w:t>
            </w:r>
          </w:p>
          <w:p w:rsidR="00A7124C" w:rsidRDefault="00D138DA">
            <w:pPr>
              <w:numPr>
                <w:ilvl w:val="0"/>
                <w:numId w:val="17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определите длительность сигнального окна, </w:t>
            </w:r>
          </w:p>
          <w:p w:rsidR="00A7124C" w:rsidRDefault="00D138DA">
            <w:pPr>
              <w:numPr>
                <w:ilvl w:val="0"/>
                <w:numId w:val="17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оцените степень информативности индикатора, </w:t>
            </w:r>
          </w:p>
          <w:p w:rsidR="00A7124C" w:rsidRDefault="00D138DA">
            <w:pPr>
              <w:numPr>
                <w:ilvl w:val="0"/>
                <w:numId w:val="17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найдите и укажите порог(-и) индикатора, </w:t>
            </w:r>
          </w:p>
          <w:p w:rsidR="00A7124C" w:rsidRDefault="00D138DA">
            <w:pPr>
              <w:numPr>
                <w:ilvl w:val="0"/>
                <w:numId w:val="17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оцените вероятность реализации риск-события в течение сигнального окна, начиная от даты завершения графика </w:t>
            </w:r>
          </w:p>
          <w:p w:rsidR="00A7124C" w:rsidRDefault="00D138DA">
            <w:pPr>
              <w:tabs>
                <w:tab w:val="left" w:pos="540"/>
              </w:tabs>
              <w:ind w:firstLine="601"/>
              <w:contextualSpacing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0" distR="0" simplePos="0" relativeHeight="3" behindDoc="0" locked="0" layoutInCell="1" allowOverlap="1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19685</wp:posOffset>
                  </wp:positionV>
                  <wp:extent cx="3102610" cy="171196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2610" cy="171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A7124C" w:rsidRDefault="00A7124C">
            <w:pPr>
              <w:tabs>
                <w:tab w:val="left" w:pos="540"/>
              </w:tabs>
              <w:ind w:firstLine="601"/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ind w:firstLine="601"/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A7124C">
        <w:tc>
          <w:tcPr>
            <w:tcW w:w="2972" w:type="dxa"/>
          </w:tcPr>
          <w:p w:rsidR="00A7124C" w:rsidRDefault="00A7124C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A7124C" w:rsidRDefault="00D138DA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 xml:space="preserve">Обосновывает допустимый, пороговый уровень риска для стратегического уровня </w:t>
            </w:r>
            <w:r>
              <w:rPr>
                <w:sz w:val="22"/>
                <w:szCs w:val="22"/>
              </w:rPr>
              <w:lastRenderedPageBreak/>
              <w:t>и его декомпозиция в разрезе отдельных видов и зон риска.</w:t>
            </w:r>
          </w:p>
        </w:tc>
        <w:tc>
          <w:tcPr>
            <w:tcW w:w="3126" w:type="dxa"/>
          </w:tcPr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2. 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- основные методы оценки различных банковских рисков и факторы банковского </w:t>
            </w:r>
            <w:r>
              <w:rPr>
                <w:sz w:val="22"/>
                <w:szCs w:val="22"/>
              </w:rPr>
              <w:lastRenderedPageBreak/>
              <w:t>кризиса;</w:t>
            </w:r>
          </w:p>
          <w:p w:rsidR="00A7124C" w:rsidRDefault="00D138DA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</w:t>
            </w:r>
            <w:r>
              <w:rPr>
                <w:sz w:val="22"/>
                <w:szCs w:val="22"/>
              </w:rPr>
              <w:tab/>
              <w:t>правильно объяснять, оценивать значения индикаторов финансового состояния банка.</w:t>
            </w:r>
          </w:p>
          <w:p w:rsidR="00A7124C" w:rsidRDefault="00A712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57" w:type="dxa"/>
          </w:tcPr>
          <w:p w:rsidR="00A7124C" w:rsidRDefault="00D138DA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:rsidR="00A7124C" w:rsidRDefault="00D138DA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Банк выдал клиенту кредит сроком на 3 года в сумме 4 млн. руб. По ссуде установлена фиксированная процентная ставка 11% годовых. Проценты уплачиваются клиентом один </w:t>
            </w:r>
            <w:r>
              <w:rPr>
                <w:sz w:val="22"/>
                <w:szCs w:val="22"/>
              </w:rPr>
              <w:lastRenderedPageBreak/>
              <w:t>раз в 6 месяцев. На следующий день после выдачи кредита ставки на рынке выросли на 100 базисных пункта (1% годовых). Источником выдачи кредита был депозит (сроком 1 год) в сумме 3,6 млн. руб. (фиксированная процентная ставка 8% годовых), проценты по которому выплачиваются в конце срока его размещения, и собственные средства в сумме 0,4 млн. руб. Будем считать, что на момент расчета рыночная стоимость кредита и депозита равны их номиналам.</w:t>
            </w:r>
          </w:p>
          <w:p w:rsidR="00A7124C" w:rsidRDefault="00D138DA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 дисконтирования равна 8% годовых.</w:t>
            </w:r>
          </w:p>
          <w:p w:rsidR="00A7124C" w:rsidRDefault="00D138DA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Требуется</w:t>
            </w:r>
            <w:r>
              <w:rPr>
                <w:sz w:val="22"/>
                <w:szCs w:val="22"/>
              </w:rPr>
              <w:t>:</w:t>
            </w:r>
          </w:p>
          <w:p w:rsidR="00A7124C" w:rsidRDefault="00D138DA">
            <w:pPr>
              <w:pStyle w:val="afe"/>
              <w:numPr>
                <w:ilvl w:val="0"/>
                <w:numId w:val="13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Определить дюрацию кредита и депозита.</w:t>
            </w:r>
          </w:p>
          <w:p w:rsidR="00A7124C" w:rsidRDefault="00D138DA">
            <w:pPr>
              <w:pStyle w:val="afe"/>
              <w:numPr>
                <w:ilvl w:val="0"/>
                <w:numId w:val="13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Вычислить рыночную стоимость капитала после изменения ставок на рынке</w:t>
            </w:r>
          </w:p>
          <w:p w:rsidR="00A7124C" w:rsidRDefault="00D138DA">
            <w:pPr>
              <w:pStyle w:val="afe"/>
              <w:numPr>
                <w:ilvl w:val="0"/>
                <w:numId w:val="13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Определить разрыв (ГЭП) дюрации</w:t>
            </w:r>
          </w:p>
          <w:p w:rsidR="00A7124C" w:rsidRDefault="00D138DA">
            <w:pPr>
              <w:pStyle w:val="afe"/>
              <w:numPr>
                <w:ilvl w:val="0"/>
                <w:numId w:val="13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Сформулировать</w:t>
            </w:r>
            <w:r>
              <w:rPr>
                <w:sz w:val="22"/>
                <w:szCs w:val="22"/>
              </w:rPr>
              <w:t>/предложить меры по нейтрализации влияния процентного риска на изменение рыночной стоимости капитала банка (при необходимости произвести расчеты)</w:t>
            </w:r>
          </w:p>
          <w:p w:rsidR="00A7124C" w:rsidRDefault="00A7124C">
            <w:pPr>
              <w:tabs>
                <w:tab w:val="left" w:pos="540"/>
              </w:tabs>
              <w:ind w:firstLine="317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A7124C">
        <w:trPr>
          <w:trHeight w:val="3418"/>
        </w:trPr>
        <w:tc>
          <w:tcPr>
            <w:tcW w:w="2972" w:type="dxa"/>
          </w:tcPr>
          <w:p w:rsidR="00A7124C" w:rsidRDefault="00A7124C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Осуществляет оценку рисковых ситуаций, тестирует и верифицирует методики оценки уровня (пороговых значений, условных зон) рисков в разрезе отдельных видов.</w:t>
            </w:r>
          </w:p>
        </w:tc>
        <w:tc>
          <w:tcPr>
            <w:tcW w:w="3126" w:type="dxa"/>
          </w:tcPr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- возможности применения различных способов минимизации и страхования рисков;</w:t>
            </w:r>
          </w:p>
          <w:p w:rsidR="00A7124C" w:rsidRDefault="00D138DA">
            <w:pPr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 использовать материалы экспертных и аналитических институтов, исследующих процессы формирования кризисов с целью оценки вероятности реализации кризисного явления.</w:t>
            </w:r>
          </w:p>
        </w:tc>
        <w:tc>
          <w:tcPr>
            <w:tcW w:w="6257" w:type="dxa"/>
          </w:tcPr>
          <w:p w:rsidR="00A7124C" w:rsidRDefault="00D138DA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основе данных о параметрах кредита (облигации) (табл. 1) и вероятности изменения (миграции) его рейтинга (табл. 2) требуется определить величину кредитного </w:t>
            </w:r>
            <w:r>
              <w:rPr>
                <w:sz w:val="22"/>
                <w:szCs w:val="22"/>
                <w:lang w:val="en-US"/>
              </w:rPr>
              <w:t>VaR</w:t>
            </w:r>
            <w:r>
              <w:rPr>
                <w:sz w:val="22"/>
                <w:szCs w:val="22"/>
              </w:rPr>
              <w:t>.</w:t>
            </w:r>
          </w:p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1. Параметры кредита (облигации)</w:t>
            </w:r>
          </w:p>
          <w:tbl>
            <w:tblPr>
              <w:tblW w:w="5718" w:type="dxa"/>
              <w:tblInd w:w="39" w:type="dxa"/>
              <w:tblLayout w:type="fixed"/>
              <w:tblLook w:val="04A0" w:firstRow="1" w:lastRow="0" w:firstColumn="1" w:lastColumn="0" w:noHBand="0" w:noVBand="1"/>
            </w:tblPr>
            <w:tblGrid>
              <w:gridCol w:w="3721"/>
              <w:gridCol w:w="927"/>
              <w:gridCol w:w="1070"/>
            </w:tblGrid>
            <w:tr w:rsidR="00A7124C">
              <w:trPr>
                <w:trHeight w:val="387"/>
              </w:trPr>
              <w:tc>
                <w:tcPr>
                  <w:tcW w:w="3721" w:type="dxa"/>
                  <w:tcBorders>
                    <w:bottom w:val="single" w:sz="4" w:space="0" w:color="000000"/>
                  </w:tcBorders>
                  <w:shd w:val="clear" w:color="FFFFFF" w:fill="FFFFFF"/>
                  <w:vAlign w:val="bottom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Инструмент</w:t>
                  </w:r>
                </w:p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27" w:type="dxa"/>
                  <w:shd w:val="clear" w:color="FFFFFF" w:fill="FFFFFF"/>
                  <w:vAlign w:val="center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Значение</w:t>
                  </w:r>
                </w:p>
              </w:tc>
              <w:tc>
                <w:tcPr>
                  <w:tcW w:w="1070" w:type="dxa"/>
                  <w:tcBorders>
                    <w:bottom w:val="single" w:sz="4" w:space="0" w:color="000000"/>
                  </w:tcBorders>
                  <w:shd w:val="clear" w:color="FFFFFF" w:fill="FFFFFF"/>
                  <w:vAlign w:val="center"/>
                </w:tcPr>
                <w:p w:rsidR="00A7124C" w:rsidRDefault="00D138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Ед. измерения </w:t>
                  </w:r>
                </w:p>
              </w:tc>
            </w:tr>
            <w:tr w:rsidR="00A7124C">
              <w:trPr>
                <w:trHeight w:val="300"/>
              </w:trPr>
              <w:tc>
                <w:tcPr>
                  <w:tcW w:w="3721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Номинал (А)</w:t>
                  </w:r>
                </w:p>
              </w:tc>
              <w:tc>
                <w:tcPr>
                  <w:tcW w:w="927" w:type="dxa"/>
                  <w:tcBorders>
                    <w:top w:val="single" w:sz="12" w:space="0" w:color="0000FF"/>
                    <w:left w:val="single" w:sz="12" w:space="0" w:color="0000FF"/>
                    <w:right w:val="single" w:sz="12" w:space="0" w:color="0000FF"/>
                  </w:tcBorders>
                  <w:shd w:val="clear" w:color="FFFFFF" w:fill="FFFFFF"/>
                </w:tcPr>
                <w:p w:rsidR="00A7124C" w:rsidRDefault="00D138DA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070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млн. руб.</w:t>
                  </w:r>
                </w:p>
              </w:tc>
            </w:tr>
            <w:tr w:rsidR="00A7124C">
              <w:trPr>
                <w:trHeight w:val="300"/>
              </w:trPr>
              <w:tc>
                <w:tcPr>
                  <w:tcW w:w="3721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Срок до погашения (n)</w:t>
                  </w:r>
                </w:p>
              </w:tc>
              <w:tc>
                <w:tcPr>
                  <w:tcW w:w="927" w:type="dxa"/>
                  <w:tcBorders>
                    <w:left w:val="single" w:sz="12" w:space="0" w:color="0000FF"/>
                    <w:right w:val="single" w:sz="12" w:space="0" w:color="0000FF"/>
                  </w:tcBorders>
                  <w:shd w:val="clear" w:color="FFFFFF" w:fill="FFFFFF"/>
                </w:tcPr>
                <w:p w:rsidR="00A7124C" w:rsidRDefault="00D138DA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070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лет</w:t>
                  </w:r>
                </w:p>
              </w:tc>
            </w:tr>
            <w:tr w:rsidR="00A7124C">
              <w:trPr>
                <w:trHeight w:val="300"/>
              </w:trPr>
              <w:tc>
                <w:tcPr>
                  <w:tcW w:w="3721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Количество % выплат в год (m)</w:t>
                  </w:r>
                </w:p>
              </w:tc>
              <w:tc>
                <w:tcPr>
                  <w:tcW w:w="927" w:type="dxa"/>
                  <w:tcBorders>
                    <w:left w:val="single" w:sz="12" w:space="0" w:color="0000FF"/>
                    <w:right w:val="single" w:sz="12" w:space="0" w:color="0000FF"/>
                  </w:tcBorders>
                  <w:shd w:val="clear" w:color="FFFFFF" w:fill="FFFFFF"/>
                </w:tcPr>
                <w:p w:rsidR="00A7124C" w:rsidRDefault="00D138DA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070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A7124C">
              <w:trPr>
                <w:trHeight w:val="300"/>
              </w:trPr>
              <w:tc>
                <w:tcPr>
                  <w:tcW w:w="3721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Текущий рейтинг</w:t>
                  </w:r>
                </w:p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2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FFFFFF" w:fill="FFFFFF"/>
                </w:tcPr>
                <w:p w:rsidR="00A7124C" w:rsidRDefault="00D138DA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ВВВ</w:t>
                  </w:r>
                </w:p>
              </w:tc>
              <w:tc>
                <w:tcPr>
                  <w:tcW w:w="1070" w:type="dxa"/>
                  <w:shd w:val="clear" w:color="FFFFFF" w:fill="FFFFFF"/>
                </w:tcPr>
                <w:p w:rsidR="00A7124C" w:rsidRDefault="00A7124C">
                  <w:pPr>
                    <w:rPr>
                      <w:b/>
                      <w:bCs/>
                      <w:color w:val="808080"/>
                    </w:rPr>
                  </w:pPr>
                </w:p>
              </w:tc>
            </w:tr>
            <w:tr w:rsidR="00A7124C">
              <w:trPr>
                <w:trHeight w:val="300"/>
              </w:trPr>
              <w:tc>
                <w:tcPr>
                  <w:tcW w:w="3721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Безрисковая ставка </w:t>
                  </w:r>
                </w:p>
              </w:tc>
              <w:tc>
                <w:tcPr>
                  <w:tcW w:w="927" w:type="dxa"/>
                  <w:shd w:val="clear" w:color="FFFFFF" w:fill="FFFFFF"/>
                </w:tcPr>
                <w:p w:rsidR="00A7124C" w:rsidRDefault="00D138DA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15%</w:t>
                  </w:r>
                </w:p>
              </w:tc>
              <w:tc>
                <w:tcPr>
                  <w:tcW w:w="1070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годовых</w:t>
                  </w:r>
                </w:p>
              </w:tc>
            </w:tr>
            <w:tr w:rsidR="00A7124C">
              <w:trPr>
                <w:trHeight w:val="300"/>
              </w:trPr>
              <w:tc>
                <w:tcPr>
                  <w:tcW w:w="3721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Премия за риск</w:t>
                  </w:r>
                </w:p>
              </w:tc>
              <w:tc>
                <w:tcPr>
                  <w:tcW w:w="927" w:type="dxa"/>
                  <w:tcBorders>
                    <w:top w:val="single" w:sz="12" w:space="0" w:color="FFC000"/>
                    <w:left w:val="single" w:sz="12" w:space="0" w:color="FFC000"/>
                    <w:bottom w:val="single" w:sz="12" w:space="0" w:color="FFC000"/>
                    <w:right w:val="single" w:sz="12" w:space="0" w:color="FFC000"/>
                  </w:tcBorders>
                  <w:shd w:val="clear" w:color="FFFFFF" w:fill="FFFFFF"/>
                </w:tcPr>
                <w:p w:rsidR="00A7124C" w:rsidRDefault="00D138DA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0,78%</w:t>
                  </w:r>
                </w:p>
              </w:tc>
              <w:tc>
                <w:tcPr>
                  <w:tcW w:w="1070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годовых</w:t>
                  </w:r>
                </w:p>
              </w:tc>
            </w:tr>
            <w:tr w:rsidR="00A7124C">
              <w:trPr>
                <w:trHeight w:val="285"/>
              </w:trPr>
              <w:tc>
                <w:tcPr>
                  <w:tcW w:w="3721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Процентная ставка (f) = безрисковая + премия за риск</w:t>
                  </w:r>
                </w:p>
              </w:tc>
              <w:tc>
                <w:tcPr>
                  <w:tcW w:w="927" w:type="dxa"/>
                  <w:shd w:val="clear" w:color="FFFFFF" w:fill="FFFFFF"/>
                </w:tcPr>
                <w:p w:rsidR="00A7124C" w:rsidRDefault="00D138DA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15,78%</w:t>
                  </w:r>
                </w:p>
              </w:tc>
              <w:tc>
                <w:tcPr>
                  <w:tcW w:w="1070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A7124C">
              <w:trPr>
                <w:trHeight w:val="300"/>
              </w:trPr>
              <w:tc>
                <w:tcPr>
                  <w:tcW w:w="3721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Размер процентного/ купонного платежа (q)</w:t>
                  </w:r>
                </w:p>
              </w:tc>
              <w:tc>
                <w:tcPr>
                  <w:tcW w:w="927" w:type="dxa"/>
                  <w:tcBorders>
                    <w:top w:val="single" w:sz="12" w:space="0" w:color="FFC000"/>
                    <w:left w:val="single" w:sz="12" w:space="0" w:color="FFC000"/>
                    <w:right w:val="single" w:sz="12" w:space="0" w:color="FFC000"/>
                  </w:tcBorders>
                  <w:shd w:val="clear" w:color="FFFFFF" w:fill="FFFFFF"/>
                </w:tcPr>
                <w:p w:rsidR="00A7124C" w:rsidRDefault="00D138DA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7,89</w:t>
                  </w:r>
                </w:p>
              </w:tc>
              <w:tc>
                <w:tcPr>
                  <w:tcW w:w="1070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млн. руб.</w:t>
                  </w:r>
                </w:p>
              </w:tc>
            </w:tr>
            <w:tr w:rsidR="00A7124C">
              <w:trPr>
                <w:trHeight w:val="300"/>
              </w:trPr>
              <w:tc>
                <w:tcPr>
                  <w:tcW w:w="3721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Вероятность дефолта</w:t>
                  </w:r>
                </w:p>
              </w:tc>
              <w:tc>
                <w:tcPr>
                  <w:tcW w:w="927" w:type="dxa"/>
                  <w:tcBorders>
                    <w:left w:val="single" w:sz="12" w:space="0" w:color="FFC000"/>
                    <w:bottom w:val="single" w:sz="12" w:space="0" w:color="FFC000"/>
                    <w:right w:val="single" w:sz="12" w:space="0" w:color="FFC000"/>
                  </w:tcBorders>
                  <w:shd w:val="clear" w:color="FFFFFF" w:fill="FFFFFF"/>
                </w:tcPr>
                <w:p w:rsidR="00A7124C" w:rsidRDefault="00D138DA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0,001</w:t>
                  </w:r>
                </w:p>
              </w:tc>
              <w:tc>
                <w:tcPr>
                  <w:tcW w:w="1070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A7124C">
              <w:trPr>
                <w:trHeight w:val="285"/>
              </w:trPr>
              <w:tc>
                <w:tcPr>
                  <w:tcW w:w="3721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Уровень возмещения при дефолте (λ)</w:t>
                  </w:r>
                </w:p>
              </w:tc>
              <w:tc>
                <w:tcPr>
                  <w:tcW w:w="927" w:type="dxa"/>
                  <w:shd w:val="clear" w:color="FFFFFF" w:fill="FFFFFF"/>
                </w:tcPr>
                <w:p w:rsidR="00A7124C" w:rsidRDefault="00D138DA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80%</w:t>
                  </w:r>
                </w:p>
              </w:tc>
              <w:tc>
                <w:tcPr>
                  <w:tcW w:w="1070" w:type="dxa"/>
                  <w:shd w:val="clear" w:color="FFFFFF" w:fill="FFFFFF"/>
                </w:tcPr>
                <w:p w:rsidR="00A7124C" w:rsidRDefault="00D138D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</w:tbl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2. Матрица миграции рейтинга</w:t>
            </w: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A7124C" w:rsidRDefault="00D138D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3836035" cy="116078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6035" cy="1160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124C" w:rsidRDefault="00A7124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:rsidR="00A7124C" w:rsidRDefault="00A7124C">
      <w:pPr>
        <w:rPr>
          <w:b/>
          <w:sz w:val="28"/>
          <w:szCs w:val="28"/>
        </w:rPr>
      </w:pPr>
    </w:p>
    <w:p w:rsidR="00A7124C" w:rsidRDefault="00A7124C">
      <w:pPr>
        <w:rPr>
          <w:b/>
          <w:sz w:val="28"/>
          <w:szCs w:val="28"/>
        </w:rPr>
        <w:sectPr w:rsidR="00A7124C">
          <w:footerReference w:type="default" r:id="rId12"/>
          <w:pgSz w:w="16838" w:h="11906" w:orient="landscape"/>
          <w:pgMar w:top="567" w:right="1134" w:bottom="1134" w:left="1134" w:header="0" w:footer="709" w:gutter="0"/>
          <w:cols w:space="720"/>
          <w:formProt w:val="0"/>
          <w:docGrid w:linePitch="360"/>
        </w:sectPr>
      </w:pPr>
    </w:p>
    <w:p w:rsidR="00A7124C" w:rsidRDefault="00D138D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Примерный перечень вопросов для подготовки к зачету 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 антикризисного управления (правовая и экономическая трактовки) в коммерческом банке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 банковского кризиса и кризиса в банке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Причины и факторы кризисных явлений в банковском секторе экономики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индикаторов кризисных явлений банковской системы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</w:rPr>
      </w:pPr>
      <w:r>
        <w:rPr>
          <w:sz w:val="28"/>
          <w:szCs w:val="28"/>
        </w:rPr>
        <w:t>Основные подходы к ранней диагностике банковск</w:t>
      </w:r>
      <w:r>
        <w:rPr>
          <w:sz w:val="28"/>
        </w:rPr>
        <w:t>ого</w:t>
      </w:r>
      <w:r>
        <w:rPr>
          <w:sz w:val="28"/>
          <w:szCs w:val="28"/>
        </w:rPr>
        <w:t xml:space="preserve"> кризис</w:t>
      </w:r>
      <w:r>
        <w:rPr>
          <w:sz w:val="28"/>
        </w:rPr>
        <w:t>а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антикризисного управления в коммерческом банке </w:t>
      </w:r>
      <w:r>
        <w:rPr>
          <w:sz w:val="28"/>
        </w:rPr>
        <w:t>(правовая и экономическая трактовки)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</w:rPr>
      </w:pPr>
      <w:r>
        <w:rPr>
          <w:sz w:val="28"/>
          <w:szCs w:val="28"/>
        </w:rPr>
        <w:t>Модели антикризисного управления в коммерческом банке и их основные характеристики.</w:t>
      </w:r>
    </w:p>
    <w:p w:rsidR="00A7124C" w:rsidRDefault="00D138DA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Причины и индикаторы развития кризиса в деятельности коммерческого банка, их характеристика.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</w:rPr>
      </w:pPr>
      <w:r>
        <w:rPr>
          <w:sz w:val="28"/>
          <w:szCs w:val="28"/>
        </w:rPr>
        <w:t>Достоинства и недостатки моделей антикризисного управления в коммерческ</w:t>
      </w:r>
      <w:r>
        <w:rPr>
          <w:sz w:val="28"/>
        </w:rPr>
        <w:t>ом</w:t>
      </w:r>
      <w:r>
        <w:rPr>
          <w:sz w:val="28"/>
          <w:szCs w:val="28"/>
        </w:rPr>
        <w:t xml:space="preserve"> банк</w:t>
      </w:r>
      <w:r>
        <w:rPr>
          <w:sz w:val="28"/>
        </w:rPr>
        <w:t>е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этапы и процедуры антикризисного управления в коммерческом банке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Методы антикризисного управления в коммерческом банке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Стресс-тестирование финансовой устойчивости банка в системе антикризисного управления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Понятие, содержание и виды стресс-тестирования финансовой устойчивости банка 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Этапы проведения стресс-тестирования в коммерческом банке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Элементы процедуры стресс-тестирования финансовой устойчивости банка и их характеристика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Рекомендации Базельского комитета по банковскому надзору относительно принципов стресс-тестирования 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стресс-тестирования банков в практике Банка России (виды, параметры стресс-тестов)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 оценки «риска заражения» («эффект домино») на межбанковском рынке (подход Банка России)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Проблемы и перспективы применения стресс-тестирования финансовой устойчивости банков в России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плана восстановления финансовой устойчивости банка и основные требования к его содержанию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Банка России к </w:t>
      </w:r>
      <w:r>
        <w:rPr>
          <w:sz w:val="28"/>
        </w:rPr>
        <w:t>структуре</w:t>
      </w:r>
      <w:r>
        <w:rPr>
          <w:sz w:val="28"/>
          <w:szCs w:val="28"/>
        </w:rPr>
        <w:t xml:space="preserve"> план</w:t>
      </w:r>
      <w:r>
        <w:rPr>
          <w:sz w:val="28"/>
        </w:rPr>
        <w:t>а</w:t>
      </w:r>
      <w:r>
        <w:rPr>
          <w:sz w:val="28"/>
          <w:szCs w:val="28"/>
        </w:rPr>
        <w:t xml:space="preserve"> восстановления финансовой устойчивости банка, порядку его представления для согласования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</w:rPr>
      </w:pPr>
      <w:r>
        <w:rPr>
          <w:sz w:val="28"/>
        </w:rPr>
        <w:t>Понятие слабого банка и основные причины появления слабого банка.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Принципы работы регулятора со слабыми банками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Рыночные механизмы санации банков: предпосылки применения, виды, преимущества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Нерыночные механизмы санации банков: предпосылки применения, виды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</w:rPr>
        <w:t>Снисходительность</w:t>
      </w:r>
      <w:r>
        <w:rPr>
          <w:sz w:val="28"/>
          <w:szCs w:val="28"/>
        </w:rPr>
        <w:t xml:space="preserve"> регулятора и докапитализация за счет органа надзора: условия применения, достоинства и недостатки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условия применения метода конвертации обязательств банка в элементы его собственного капитала (</w:t>
      </w:r>
      <w:r>
        <w:rPr>
          <w:sz w:val="28"/>
          <w:szCs w:val="28"/>
          <w:lang w:val="en-US"/>
        </w:rPr>
        <w:t>bail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in</w:t>
      </w:r>
      <w:r>
        <w:rPr>
          <w:sz w:val="28"/>
          <w:szCs w:val="28"/>
        </w:rPr>
        <w:t xml:space="preserve">) для санации проблемного банка 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санации «разделение на хороший и плохой банк» и «покупка активов и принятие обязательств (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)»: основания применения, достоинства и недостатки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 «банка плохих активов» и особенности его использования как способа финансового оздоровления кредитных организаций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Российский опыт санации банков: правовая база, алгоритм и основные механизмы</w:t>
      </w:r>
    </w:p>
    <w:p w:rsidR="00A7124C" w:rsidRDefault="00D138DA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Механизм конвертации обязательств банка в элементы его собственного капитала (</w:t>
      </w:r>
      <w:r>
        <w:rPr>
          <w:sz w:val="28"/>
          <w:szCs w:val="28"/>
          <w:lang w:val="en-US"/>
        </w:rPr>
        <w:t>bail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in</w:t>
      </w:r>
      <w:r>
        <w:rPr>
          <w:sz w:val="28"/>
          <w:szCs w:val="28"/>
        </w:rPr>
        <w:t xml:space="preserve">): содержание, достоинства и недостатки, зарубежный опыт и российская практика. </w:t>
      </w:r>
    </w:p>
    <w:p w:rsidR="00A7124C" w:rsidRDefault="00D138DA">
      <w:pPr>
        <w:numPr>
          <w:ilvl w:val="0"/>
          <w:numId w:val="2"/>
        </w:numPr>
        <w:spacing w:line="360" w:lineRule="auto"/>
        <w:ind w:hanging="578"/>
        <w:contextualSpacing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Банки </w:t>
      </w:r>
      <w:r>
        <w:rPr>
          <w:rFonts w:eastAsia="Calibri"/>
          <w:sz w:val="28"/>
          <w:szCs w:val="28"/>
        </w:rPr>
        <w:t>непрофильных активов</w:t>
      </w:r>
      <w:r>
        <w:rPr>
          <w:rFonts w:eastAsia="Calibri"/>
          <w:sz w:val="28"/>
        </w:rPr>
        <w:t>: причины их создания, предназначение и их функции (зарубежная практика</w:t>
      </w:r>
      <w:r>
        <w:rPr>
          <w:rFonts w:eastAsia="Calibri"/>
          <w:sz w:val="28"/>
          <w:szCs w:val="28"/>
        </w:rPr>
        <w:t>).</w:t>
      </w:r>
    </w:p>
    <w:p w:rsidR="00A7124C" w:rsidRDefault="00D138DA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Сравнительная характеристика кредитной и капитальной модели санации </w:t>
      </w:r>
      <w:r>
        <w:rPr>
          <w:sz w:val="28"/>
          <w:szCs w:val="28"/>
        </w:rPr>
        <w:lastRenderedPageBreak/>
        <w:t xml:space="preserve">банков. </w:t>
      </w:r>
    </w:p>
    <w:p w:rsidR="00A7124C" w:rsidRDefault="00D138DA">
      <w:pPr>
        <w:pStyle w:val="afe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применения мер предупреждения банкротства банка и варианты таких мер (Закон № 127-ФЗ «О несостоятельности (банкротстве)»)</w:t>
      </w:r>
    </w:p>
    <w:p w:rsidR="00A7124C" w:rsidRDefault="00D138DA">
      <w:pPr>
        <w:tabs>
          <w:tab w:val="left" w:pos="3645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(вариант) задания на зачете</w:t>
      </w:r>
    </w:p>
    <w:p w:rsidR="00A7124C" w:rsidRDefault="00D138DA">
      <w:pPr>
        <w:pStyle w:val="afe"/>
        <w:numPr>
          <w:ilvl w:val="0"/>
          <w:numId w:val="14"/>
        </w:numPr>
        <w:spacing w:line="360" w:lineRule="auto"/>
        <w:ind w:hanging="436"/>
        <w:rPr>
          <w:rFonts w:eastAsia="Calibri"/>
          <w:sz w:val="28"/>
        </w:rPr>
      </w:pPr>
      <w:r>
        <w:rPr>
          <w:rFonts w:eastAsia="Calibri"/>
          <w:sz w:val="28"/>
        </w:rPr>
        <w:t>Этапы проведения стресс-тестирования в коммерческом банке: содержание, трудности реализации  (15 баллов)</w:t>
      </w:r>
      <w:r>
        <w:rPr>
          <w:rFonts w:eastAsia="Calibri"/>
          <w:sz w:val="28"/>
          <w:szCs w:val="28"/>
        </w:rPr>
        <w:t>.</w:t>
      </w:r>
    </w:p>
    <w:p w:rsidR="00A7124C" w:rsidRDefault="00D138DA">
      <w:pPr>
        <w:pStyle w:val="afe"/>
        <w:numPr>
          <w:ilvl w:val="0"/>
          <w:numId w:val="14"/>
        </w:numPr>
        <w:spacing w:line="360" w:lineRule="auto"/>
        <w:ind w:hanging="436"/>
        <w:jc w:val="both"/>
        <w:rPr>
          <w:sz w:val="28"/>
          <w:szCs w:val="28"/>
        </w:rPr>
      </w:pPr>
      <w:r>
        <w:rPr>
          <w:sz w:val="28"/>
          <w:szCs w:val="28"/>
        </w:rPr>
        <w:t>Механизм конвертации обязательств банка в элементы его собственного капитала (bail-in): содержание, достоинства и недостатки, зарубежный опыт и российская практика (15 баллов).</w:t>
      </w:r>
    </w:p>
    <w:p w:rsidR="00A7124C" w:rsidRDefault="00D138DA">
      <w:pPr>
        <w:pStyle w:val="afe"/>
        <w:numPr>
          <w:ilvl w:val="0"/>
          <w:numId w:val="14"/>
        </w:numPr>
        <w:spacing w:line="360" w:lineRule="auto"/>
        <w:ind w:hanging="436"/>
        <w:jc w:val="both"/>
        <w:rPr>
          <w:sz w:val="28"/>
          <w:szCs w:val="28"/>
        </w:rPr>
      </w:pPr>
      <w:r>
        <w:rPr>
          <w:sz w:val="28"/>
          <w:szCs w:val="28"/>
        </w:rPr>
        <w:t>Практико-ориентированное задание (30 баллов).</w:t>
      </w:r>
    </w:p>
    <w:p w:rsidR="00A7124C" w:rsidRDefault="00D138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Накануне принятия решения (12.08.2015) об отзыве лицензии у АКБ «Пробизнесбанк» его финансовое состояние характеризовалось следующими показателями:</w:t>
      </w:r>
    </w:p>
    <w:p w:rsidR="00A7124C" w:rsidRDefault="00D138DA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 01.08.15</w:t>
      </w:r>
    </w:p>
    <w:p w:rsidR="00A7124C" w:rsidRDefault="00D138DA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Активы ~ 136 млрд руб., регуляторный капитал ~ 12 млрд руб., обязательства ~ 126 млрд руб., в т.ч. вклады граждан ~ 27 млрд руб.</w:t>
      </w:r>
    </w:p>
    <w:p w:rsidR="00A7124C" w:rsidRDefault="00D138DA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 Н1 = 11,3%, Н3 = 52%, доля просроченных ссуд = 15%, </w:t>
      </w:r>
    </w:p>
    <w:p w:rsidR="00A7124C" w:rsidRDefault="00D138DA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ROA=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 xml:space="preserve">,8%, </w:t>
      </w:r>
      <w:r>
        <w:rPr>
          <w:sz w:val="28"/>
          <w:szCs w:val="28"/>
          <w:lang w:val="en-US"/>
        </w:rPr>
        <w:t>ROE</w:t>
      </w:r>
      <w:r>
        <w:rPr>
          <w:sz w:val="28"/>
          <w:szCs w:val="28"/>
        </w:rPr>
        <w:t xml:space="preserve">= </w:t>
      </w:r>
      <w:r>
        <w:rPr>
          <w:bCs/>
          <w:sz w:val="28"/>
          <w:szCs w:val="28"/>
        </w:rPr>
        <w:t>-</w:t>
      </w:r>
      <w:r>
        <w:rPr>
          <w:sz w:val="28"/>
          <w:szCs w:val="28"/>
        </w:rPr>
        <w:t xml:space="preserve"> 22%.</w:t>
      </w:r>
    </w:p>
    <w:p w:rsidR="00A7124C" w:rsidRDefault="00D138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мнению Банка России, санация была нецелесообразна из-за низкого качества активов и большой величины дефицита капитала.</w:t>
      </w:r>
    </w:p>
    <w:p w:rsidR="00A7124C" w:rsidRDefault="00D138D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финансовой отчетности АКБ «Пробизнесбанк» </w:t>
      </w:r>
      <w:r>
        <w:rPr>
          <w:sz w:val="28"/>
          <w:szCs w:val="28"/>
          <w:u w:val="single"/>
        </w:rPr>
        <w:t>необходимо</w:t>
      </w:r>
      <w:r>
        <w:rPr>
          <w:sz w:val="28"/>
          <w:szCs w:val="28"/>
        </w:rPr>
        <w:t>:</w:t>
      </w:r>
    </w:p>
    <w:p w:rsidR="00A7124C" w:rsidRDefault="00D138D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проанализировать динамику основных индикаторов финансовой устойчивости на протяжении 3-х лет до принятия решения об отзыве у банка лицензии;</w:t>
      </w:r>
    </w:p>
    <w:p w:rsidR="00A7124C" w:rsidRDefault="00D138D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выявить (возможность) те индикаторы, которые заранее сигнализировали о наличии проблем в деятельности банка;</w:t>
      </w:r>
    </w:p>
    <w:p w:rsidR="00A7124C" w:rsidRDefault="00D138DA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 сформулировать и обосновать свое суждение относительно того, насколько было возможно выявить признаки проблем у банка на основании его финансовой отчетности.</w:t>
      </w:r>
    </w:p>
    <w:p w:rsidR="00A7124C" w:rsidRDefault="00D138DA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Результаты вычислений и свое мотивированное суждение обучающемуся необходимо оформить в виде отчета.</w:t>
      </w:r>
    </w:p>
    <w:p w:rsidR="00A7124C" w:rsidRDefault="00D138DA">
      <w:pPr>
        <w:pStyle w:val="1"/>
        <w:spacing w:before="0" w:after="120"/>
        <w:ind w:firstLine="709"/>
      </w:pPr>
      <w:bookmarkStart w:id="14" w:name="_Toc1195824521"/>
      <w:r>
        <w:rPr>
          <w:rFonts w:ascii="Times New Roman" w:hAnsi="Times New Roman" w:cs="Times New Roman"/>
          <w:color w:val="000000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4"/>
    </w:p>
    <w:p w:rsidR="00A7124C" w:rsidRDefault="00A7124C">
      <w:pPr>
        <w:rPr>
          <w:b/>
          <w:color w:val="000000"/>
          <w:szCs w:val="28"/>
        </w:rPr>
      </w:pPr>
    </w:p>
    <w:p w:rsidR="00A7124C" w:rsidRDefault="00D138DA">
      <w:pPr>
        <w:pStyle w:val="afe"/>
        <w:spacing w:line="360" w:lineRule="auto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Нормативно-правовые акты</w:t>
      </w:r>
    </w:p>
    <w:p w:rsidR="00A7124C" w:rsidRDefault="00A7124C">
      <w:pPr>
        <w:rPr>
          <w:b/>
          <w:szCs w:val="28"/>
        </w:rPr>
      </w:pPr>
    </w:p>
    <w:p w:rsidR="00A7124C" w:rsidRDefault="00D138DA">
      <w:pPr>
        <w:pStyle w:val="afe"/>
        <w:numPr>
          <w:ilvl w:val="0"/>
          <w:numId w:val="3"/>
        </w:numPr>
        <w:tabs>
          <w:tab w:val="left" w:pos="993"/>
        </w:tabs>
        <w:spacing w:line="360" w:lineRule="auto"/>
        <w:ind w:left="0" w:firstLine="556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Федеральный закон от 26.10.2002 № 127-ФЗ «О несостоятельности (банкротстве)» (§ 4.1. Банкротство кредитных организаций).</w:t>
      </w:r>
    </w:p>
    <w:p w:rsidR="00A7124C" w:rsidRDefault="00D138DA">
      <w:pPr>
        <w:pStyle w:val="afe"/>
        <w:numPr>
          <w:ilvl w:val="0"/>
          <w:numId w:val="3"/>
        </w:numPr>
        <w:tabs>
          <w:tab w:val="left" w:pos="993"/>
        </w:tabs>
        <w:spacing w:line="360" w:lineRule="auto"/>
        <w:ind w:left="0" w:firstLine="556"/>
        <w:jc w:val="both"/>
        <w:rPr>
          <w:rStyle w:val="FontStyle73"/>
          <w:sz w:val="28"/>
        </w:rPr>
      </w:pPr>
      <w:r>
        <w:rPr>
          <w:rStyle w:val="FontStyle73"/>
          <w:sz w:val="28"/>
          <w:szCs w:val="28"/>
        </w:rPr>
        <w:t xml:space="preserve">Федеральный закон от 10.07.2002 № 86-ФЗ </w:t>
      </w:r>
      <w:r>
        <w:rPr>
          <w:rStyle w:val="FontStyle73"/>
          <w:sz w:val="28"/>
        </w:rPr>
        <w:t>"</w:t>
      </w:r>
      <w:r>
        <w:rPr>
          <w:rStyle w:val="FontStyle73"/>
          <w:sz w:val="28"/>
          <w:szCs w:val="28"/>
        </w:rPr>
        <w:t>О Центральном банке Российской Федерации (Банке России)</w:t>
      </w:r>
      <w:r>
        <w:rPr>
          <w:rStyle w:val="FontStyle73"/>
          <w:sz w:val="28"/>
        </w:rPr>
        <w:t>"</w:t>
      </w:r>
    </w:p>
    <w:p w:rsidR="00A7124C" w:rsidRDefault="00D138DA">
      <w:pPr>
        <w:pStyle w:val="afe"/>
        <w:numPr>
          <w:ilvl w:val="0"/>
          <w:numId w:val="3"/>
        </w:numPr>
        <w:tabs>
          <w:tab w:val="left" w:pos="993"/>
        </w:tabs>
        <w:spacing w:line="360" w:lineRule="auto"/>
        <w:ind w:left="0" w:firstLine="556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 «Положение о требованиях к содержанию, порядке и сроках представления кредитными организациями в Банк России планов восстановления финансовой устойчивости, изменений, вносимых в планы восстановления финансовой устойчивости, порядке их оценки Банком России, а также о порядке информирования кредитными организациями Банка России о наступлении в их деятельности событий, предусмотренных планом восстановления финансовой устойчивости, и принятии решения о начале его реализации» (утв. Банком России 04.10.2018 N 653-П)</w:t>
      </w:r>
    </w:p>
    <w:p w:rsidR="00A7124C" w:rsidRDefault="00D138DA">
      <w:pPr>
        <w:pStyle w:val="afe"/>
        <w:numPr>
          <w:ilvl w:val="0"/>
          <w:numId w:val="3"/>
        </w:numPr>
        <w:tabs>
          <w:tab w:val="left" w:pos="993"/>
        </w:tabs>
        <w:spacing w:line="360" w:lineRule="auto"/>
        <w:ind w:left="0" w:firstLine="556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Указание Банка России от 03.04.2017 № 4336-У «Об оценке экономического положения банков».</w:t>
      </w:r>
    </w:p>
    <w:p w:rsidR="00A7124C" w:rsidRDefault="00D138DA">
      <w:pPr>
        <w:pStyle w:val="afe"/>
        <w:numPr>
          <w:ilvl w:val="0"/>
          <w:numId w:val="3"/>
        </w:numPr>
        <w:tabs>
          <w:tab w:val="left" w:pos="993"/>
        </w:tabs>
        <w:spacing w:line="360" w:lineRule="auto"/>
        <w:ind w:left="0" w:firstLine="556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Указание Банка России от 15.04.2015 г. № 3624-У «О требованиях к системе управления рисками и капиталом кредитной организации и банковской группы» (Глава 5. Организация процедур стресс-тестирования)</w:t>
      </w:r>
    </w:p>
    <w:p w:rsidR="00A7124C" w:rsidRDefault="00A7124C">
      <w:pPr>
        <w:spacing w:line="360" w:lineRule="auto"/>
        <w:jc w:val="both"/>
        <w:rPr>
          <w:szCs w:val="28"/>
          <w:lang w:val="en-US"/>
        </w:rPr>
      </w:pPr>
    </w:p>
    <w:p w:rsidR="00A7124C" w:rsidRDefault="00D138DA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Рекомендуемая литература</w:t>
      </w:r>
    </w:p>
    <w:p w:rsidR="00A7124C" w:rsidRDefault="00D138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 основная литература</w:t>
      </w:r>
    </w:p>
    <w:p w:rsidR="00A7124C" w:rsidRDefault="00D138DA" w:rsidP="00A343F0">
      <w:pPr>
        <w:pStyle w:val="afe"/>
        <w:spacing w:line="360" w:lineRule="auto"/>
        <w:ind w:left="0"/>
        <w:jc w:val="both"/>
      </w:pPr>
      <w:r>
        <w:rPr>
          <w:sz w:val="28"/>
          <w:szCs w:val="28"/>
        </w:rPr>
        <w:t xml:space="preserve">1. Зайцев, В.Б. Антикризисное управление в коммерческом банке : учеб. для напр. магистратуры «Финансы и кредит» / В.Б. Зайцев, И.В. Ларионова, Е.И. Мешкова. - Финуниверситет. - Москва : КноРус. -  2021. - 179 с. - (Магистратура). – ISBN 978-5-406-07914-0. - ЭБС BOOK.RU. - URL: </w:t>
      </w:r>
      <w:hyperlink r:id="rId13" w:tgtFrame="https://old.book.ru/book/938400">
        <w:r>
          <w:rPr>
            <w:sz w:val="28"/>
            <w:szCs w:val="28"/>
          </w:rPr>
          <w:t>https://old.book.ru/book/938400</w:t>
        </w:r>
      </w:hyperlink>
      <w:r>
        <w:rPr>
          <w:sz w:val="28"/>
          <w:szCs w:val="28"/>
        </w:rPr>
        <w:t xml:space="preserve"> .- (дата обращения:01.11.2024). — Текст : электронный.</w:t>
      </w:r>
    </w:p>
    <w:p w:rsidR="00A7124C" w:rsidRDefault="00D138DA" w:rsidP="00A343F0">
      <w:pPr>
        <w:pStyle w:val="afe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Предупреждение банкротства кредитных организаций : учебник / А.С. Саблин, О.О. Баранов, Е.Ю. Матвеева [и др.] ; под ред. Г.Ф. Ручкиной. — Москва : КноРус, 2022. — 166 с. - (Магистратура). —текст непосредственный.- То же: ЭБС BOOK.RU </w:t>
      </w:r>
      <w:r>
        <w:rPr>
          <w:sz w:val="28"/>
          <w:szCs w:val="28"/>
        </w:rPr>
        <w:lastRenderedPageBreak/>
        <w:t>— URL:https://book.ru/book/944661 (дата обращения: 01.11.2024). — Текст : электронный.</w:t>
      </w:r>
      <w:bookmarkStart w:id="15" w:name="_Hlk181365623"/>
      <w:bookmarkEnd w:id="15"/>
    </w:p>
    <w:p w:rsidR="00A7124C" w:rsidRDefault="00A7124C">
      <w:pPr>
        <w:spacing w:line="360" w:lineRule="auto"/>
        <w:jc w:val="both"/>
        <w:rPr>
          <w:sz w:val="28"/>
          <w:szCs w:val="28"/>
        </w:rPr>
      </w:pPr>
    </w:p>
    <w:p w:rsidR="00A7124C" w:rsidRDefault="00D138D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Дополнительная литература</w:t>
      </w:r>
    </w:p>
    <w:p w:rsidR="00A7124C" w:rsidRDefault="00D138DA" w:rsidP="00A343F0">
      <w:pPr>
        <w:pStyle w:val="afe"/>
        <w:spacing w:line="360" w:lineRule="auto"/>
        <w:ind w:left="0"/>
        <w:jc w:val="both"/>
      </w:pPr>
      <w:r>
        <w:rPr>
          <w:sz w:val="28"/>
          <w:szCs w:val="28"/>
        </w:rPr>
        <w:t xml:space="preserve">3. Афанасьева, О.Н., Ранняя диагностика, финансовое оздоровление и банкротство кредитных организаций: особенности и проблемы российской и зарубежной практики : монография / О.Н. Афанасьева, П.М. Часовских, Е.Г. Рунова. — Москва : Русайнс, 2021. — 261 с. - (Магистратура). — ISBN 978-5-4365-5909-4. — ЭБС BOOK.RU.-  </w:t>
      </w:r>
      <w:hyperlink r:id="rId14" w:tgtFrame="URL:https://book.ru/book/939538">
        <w:r>
          <w:rPr>
            <w:sz w:val="28"/>
            <w:szCs w:val="28"/>
          </w:rPr>
          <w:t>URL:https://book.ru/book/939538</w:t>
        </w:r>
      </w:hyperlink>
      <w:r>
        <w:rPr>
          <w:sz w:val="28"/>
          <w:szCs w:val="28"/>
        </w:rPr>
        <w:t xml:space="preserve"> . — (дата обращения: 01.11.2024). — Текст : электронный.</w:t>
      </w:r>
    </w:p>
    <w:p w:rsidR="00A7124C" w:rsidRDefault="00D138DA" w:rsidP="00A343F0">
      <w:pPr>
        <w:pStyle w:val="afe"/>
        <w:spacing w:line="360" w:lineRule="auto"/>
        <w:ind w:left="0"/>
        <w:jc w:val="both"/>
      </w:pPr>
      <w:r>
        <w:rPr>
          <w:sz w:val="28"/>
          <w:szCs w:val="28"/>
        </w:rPr>
        <w:t xml:space="preserve">4. Банковский менеджмент : учебник / О. И. Лаврушин, Н. И. Валенцева, И. В. Ларионова [и др.] ; под ред. О. И. Лаврушина. — Москва : КноРус, 2023. — 503 с. — ISBN 978-5-406-11640-1.текст непосредственный.- То же:  ЭБС BOOK.RU .— URL: </w:t>
      </w:r>
      <w:hyperlink r:id="rId15">
        <w:r>
          <w:rPr>
            <w:sz w:val="28"/>
            <w:szCs w:val="28"/>
          </w:rPr>
          <w:t>https://book.ru/book/949371</w:t>
        </w:r>
      </w:hyperlink>
      <w:r>
        <w:rPr>
          <w:sz w:val="28"/>
          <w:szCs w:val="28"/>
        </w:rPr>
        <w:t xml:space="preserve">  (дата обращения: 01.11.2024). — Текст : электронный.</w:t>
      </w:r>
    </w:p>
    <w:p w:rsidR="00A7124C" w:rsidRDefault="00A7124C">
      <w:pPr>
        <w:spacing w:line="360" w:lineRule="auto"/>
        <w:jc w:val="both"/>
        <w:rPr>
          <w:sz w:val="28"/>
          <w:szCs w:val="28"/>
        </w:rPr>
      </w:pPr>
    </w:p>
    <w:p w:rsidR="00A7124C" w:rsidRDefault="00D138DA">
      <w:pPr>
        <w:pStyle w:val="1"/>
        <w:spacing w:before="0" w:after="120"/>
        <w:ind w:firstLine="709"/>
        <w:rPr>
          <w:color w:val="000000"/>
        </w:rPr>
      </w:pPr>
      <w:bookmarkStart w:id="16" w:name="_Toc1195824531"/>
      <w:r>
        <w:rPr>
          <w:rFonts w:ascii="Times New Roman" w:hAnsi="Times New Roman" w:cs="Times New Roman"/>
          <w:color w:val="000000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6"/>
    </w:p>
    <w:p w:rsidR="00A7124C" w:rsidRPr="00A343F0" w:rsidRDefault="00D138DA" w:rsidP="00A343F0">
      <w:pPr>
        <w:pStyle w:val="afe"/>
        <w:widowControl/>
        <w:numPr>
          <w:ilvl w:val="0"/>
          <w:numId w:val="19"/>
        </w:numPr>
        <w:spacing w:line="276" w:lineRule="auto"/>
        <w:ind w:left="357" w:hanging="357"/>
        <w:jc w:val="both"/>
        <w:rPr>
          <w:lang w:val="en-US"/>
        </w:rPr>
      </w:pPr>
      <w:r>
        <w:rPr>
          <w:color w:val="000000"/>
          <w:sz w:val="28"/>
          <w:szCs w:val="28"/>
        </w:rPr>
        <w:t xml:space="preserve">Банк России. Раскрытие информации кредитными организациями. </w:t>
      </w:r>
      <w:r>
        <w:rPr>
          <w:color w:val="000000"/>
          <w:sz w:val="28"/>
          <w:szCs w:val="28"/>
          <w:lang w:val="en-US"/>
        </w:rPr>
        <w:t xml:space="preserve">URL: </w:t>
      </w:r>
      <w:hyperlink r:id="rId16" w:tgtFrame="http://www.cbr.ru/banking_sector/otchetnost-kreditnykh-organizaciy/transparent/">
        <w:r>
          <w:rPr>
            <w:color w:val="000000"/>
            <w:sz w:val="28"/>
            <w:szCs w:val="28"/>
            <w:lang w:val="en-US"/>
          </w:rPr>
          <w:t>http://www.cbr.ru/banking_sector/otchetnost-kreditnykh-organizaciy/transparent</w:t>
        </w:r>
      </w:hyperlink>
      <w:hyperlink r:id="rId17" w:tgtFrame="http://www.cbr.ru/banking_sector/otchetnost-kreditnykh-organizaciy/transparent/">
        <w:r>
          <w:rPr>
            <w:color w:val="000000"/>
            <w:sz w:val="28"/>
            <w:szCs w:val="28"/>
            <w:lang w:val="en-US"/>
          </w:rPr>
          <w:t>/</w:t>
        </w:r>
      </w:hyperlink>
      <w:r>
        <w:rPr>
          <w:color w:val="000000"/>
          <w:sz w:val="28"/>
          <w:szCs w:val="28"/>
          <w:lang w:val="en-US"/>
        </w:rPr>
        <w:t xml:space="preserve">. </w:t>
      </w:r>
    </w:p>
    <w:p w:rsidR="00A7124C" w:rsidRPr="00A343F0" w:rsidRDefault="00D138DA" w:rsidP="00A343F0">
      <w:pPr>
        <w:pStyle w:val="afe"/>
        <w:widowControl/>
        <w:numPr>
          <w:ilvl w:val="0"/>
          <w:numId w:val="19"/>
        </w:numPr>
        <w:spacing w:line="276" w:lineRule="auto"/>
        <w:ind w:left="357" w:hanging="357"/>
        <w:jc w:val="both"/>
        <w:rPr>
          <w:lang w:val="en-US"/>
        </w:rPr>
      </w:pPr>
      <w:r>
        <w:rPr>
          <w:color w:val="000000"/>
          <w:sz w:val="28"/>
          <w:szCs w:val="28"/>
        </w:rPr>
        <w:t xml:space="preserve">Портал арбитражных дел «Электронное правосудие». </w:t>
      </w:r>
      <w:r>
        <w:rPr>
          <w:color w:val="000000"/>
          <w:sz w:val="28"/>
          <w:szCs w:val="28"/>
          <w:lang w:val="en-US"/>
        </w:rPr>
        <w:t xml:space="preserve">URL: </w:t>
      </w:r>
      <w:hyperlink r:id="rId18" w:tgtFrame="https://kad.arbitr.ru/">
        <w:r>
          <w:rPr>
            <w:color w:val="000000"/>
            <w:sz w:val="28"/>
            <w:szCs w:val="28"/>
            <w:lang w:val="en-US"/>
          </w:rPr>
          <w:t>https://kad.arbitr.ru/</w:t>
        </w:r>
      </w:hyperlink>
      <w:r>
        <w:rPr>
          <w:color w:val="000000"/>
          <w:sz w:val="28"/>
          <w:szCs w:val="28"/>
          <w:lang w:val="en-US"/>
        </w:rPr>
        <w:t>.</w:t>
      </w:r>
    </w:p>
    <w:p w:rsidR="00A7124C" w:rsidRDefault="00D138DA" w:rsidP="00A343F0">
      <w:pPr>
        <w:pStyle w:val="afe"/>
        <w:numPr>
          <w:ilvl w:val="0"/>
          <w:numId w:val="19"/>
        </w:numPr>
        <w:spacing w:line="276" w:lineRule="auto"/>
        <w:ind w:left="357" w:hanging="357"/>
        <w:jc w:val="both"/>
      </w:pPr>
      <w:r>
        <w:rPr>
          <w:bCs/>
          <w:color w:val="000000"/>
          <w:sz w:val="28"/>
          <w:szCs w:val="28"/>
        </w:rPr>
        <w:t xml:space="preserve">Портал банковского аналитика. </w:t>
      </w:r>
      <w:r>
        <w:rPr>
          <w:bCs/>
          <w:color w:val="000000"/>
          <w:sz w:val="28"/>
          <w:szCs w:val="28"/>
          <w:lang w:val="en-US"/>
        </w:rPr>
        <w:t>URL</w:t>
      </w:r>
      <w:r>
        <w:rPr>
          <w:bCs/>
          <w:color w:val="000000"/>
          <w:sz w:val="28"/>
          <w:szCs w:val="28"/>
        </w:rPr>
        <w:t xml:space="preserve">: </w:t>
      </w:r>
      <w:hyperlink r:id="rId19" w:tgtFrame="https://analizbankov.ru/bank.php">
        <w:r>
          <w:rPr>
            <w:bCs/>
            <w:color w:val="000000"/>
            <w:sz w:val="28"/>
            <w:szCs w:val="28"/>
            <w:lang w:val="en-US"/>
          </w:rPr>
          <w:t>https</w:t>
        </w:r>
        <w:r>
          <w:rPr>
            <w:bCs/>
            <w:color w:val="000000"/>
            <w:sz w:val="28"/>
            <w:szCs w:val="28"/>
          </w:rPr>
          <w:t>://</w:t>
        </w:r>
      </w:hyperlink>
      <w:hyperlink r:id="rId20" w:tgtFrame="https://analizbankov.ru/bank.php">
        <w:r>
          <w:rPr>
            <w:bCs/>
            <w:color w:val="000000"/>
            <w:sz w:val="28"/>
            <w:szCs w:val="28"/>
            <w:lang w:val="en-US"/>
          </w:rPr>
          <w:t>analizbankov</w:t>
        </w:r>
      </w:hyperlink>
      <w:r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  <w:lang w:val="en-US"/>
        </w:rPr>
        <w:t>ru</w:t>
      </w:r>
      <w:r>
        <w:rPr>
          <w:bCs/>
          <w:color w:val="000000"/>
          <w:sz w:val="28"/>
          <w:szCs w:val="28"/>
        </w:rPr>
        <w:t>/</w:t>
      </w:r>
      <w:r>
        <w:rPr>
          <w:bCs/>
          <w:color w:val="000000"/>
          <w:sz w:val="28"/>
          <w:szCs w:val="28"/>
          <w:lang w:val="en-US"/>
        </w:rPr>
        <w:t>bank</w:t>
      </w:r>
      <w:r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  <w:lang w:val="en-US"/>
        </w:rPr>
        <w:t>php</w:t>
      </w:r>
    </w:p>
    <w:p w:rsidR="00A7124C" w:rsidRPr="00A343F0" w:rsidRDefault="00D138DA" w:rsidP="00A343F0">
      <w:pPr>
        <w:pStyle w:val="afe"/>
        <w:widowControl/>
        <w:numPr>
          <w:ilvl w:val="0"/>
          <w:numId w:val="19"/>
        </w:numPr>
        <w:spacing w:line="276" w:lineRule="auto"/>
        <w:ind w:left="357" w:hanging="357"/>
        <w:jc w:val="both"/>
        <w:rPr>
          <w:lang w:val="en-US"/>
        </w:rPr>
      </w:pPr>
      <w:r>
        <w:rPr>
          <w:color w:val="000000"/>
          <w:sz w:val="28"/>
          <w:szCs w:val="28"/>
        </w:rPr>
        <w:t xml:space="preserve">Центр раскрытия корпоративной информации Интерфакс. </w:t>
      </w:r>
      <w:r>
        <w:rPr>
          <w:color w:val="000000"/>
          <w:sz w:val="28"/>
          <w:szCs w:val="28"/>
          <w:lang w:val="en-US"/>
        </w:rPr>
        <w:t xml:space="preserve">URL: </w:t>
      </w:r>
      <w:hyperlink r:id="rId21" w:tgtFrame="https://e-disclosure.ru/?attempt=1">
        <w:r>
          <w:rPr>
            <w:color w:val="000000"/>
            <w:sz w:val="28"/>
            <w:szCs w:val="28"/>
            <w:lang w:val="en-US"/>
          </w:rPr>
          <w:t>https://e-disclosure.ru/?attempt=1</w:t>
        </w:r>
      </w:hyperlink>
      <w:r>
        <w:rPr>
          <w:color w:val="000000"/>
          <w:sz w:val="28"/>
          <w:szCs w:val="28"/>
          <w:lang w:val="en-US"/>
        </w:rPr>
        <w:t xml:space="preserve">. </w:t>
      </w:r>
    </w:p>
    <w:p w:rsidR="00A7124C" w:rsidRDefault="00D138DA" w:rsidP="00A343F0">
      <w:pPr>
        <w:pStyle w:val="afe"/>
        <w:widowControl/>
        <w:numPr>
          <w:ilvl w:val="0"/>
          <w:numId w:val="19"/>
        </w:numPr>
        <w:spacing w:line="276" w:lineRule="auto"/>
        <w:ind w:left="357" w:hanging="357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A7124C" w:rsidRDefault="00D138DA" w:rsidP="00A343F0">
      <w:pPr>
        <w:pStyle w:val="afe"/>
        <w:widowControl/>
        <w:numPr>
          <w:ilvl w:val="0"/>
          <w:numId w:val="19"/>
        </w:numPr>
        <w:spacing w:line="276" w:lineRule="auto"/>
        <w:ind w:left="357" w:hanging="357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A7124C" w:rsidRDefault="00D138DA" w:rsidP="00A343F0">
      <w:pPr>
        <w:pStyle w:val="afe"/>
        <w:widowControl/>
        <w:numPr>
          <w:ilvl w:val="0"/>
          <w:numId w:val="19"/>
        </w:numPr>
        <w:spacing w:line="276" w:lineRule="auto"/>
        <w:ind w:left="357" w:hanging="357"/>
        <w:jc w:val="both"/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r>
        <w:rPr>
          <w:color w:val="000000" w:themeColor="text1"/>
          <w:sz w:val="28"/>
          <w:szCs w:val="28"/>
          <w:lang w:val="en-US"/>
        </w:rPr>
        <w:t>Znanium</w:t>
      </w:r>
      <w:r>
        <w:rPr>
          <w:color w:val="000000" w:themeColor="text1"/>
          <w:sz w:val="28"/>
          <w:szCs w:val="28"/>
        </w:rPr>
        <w:t xml:space="preserve"> </w:t>
      </w:r>
      <w:hyperlink r:id="rId22" w:tgtFrame="http://www.znanium.com/">
        <w:r>
          <w:rPr>
            <w:color w:val="000000" w:themeColor="text1"/>
            <w:sz w:val="28"/>
            <w:szCs w:val="28"/>
          </w:rPr>
          <w:t>http://www.znanium.com</w:t>
        </w:r>
      </w:hyperlink>
    </w:p>
    <w:p w:rsidR="00A7124C" w:rsidRDefault="00D138DA" w:rsidP="00A343F0">
      <w:pPr>
        <w:pStyle w:val="afe"/>
        <w:widowControl/>
        <w:numPr>
          <w:ilvl w:val="0"/>
          <w:numId w:val="19"/>
        </w:numPr>
        <w:spacing w:line="276" w:lineRule="auto"/>
        <w:ind w:left="357" w:hanging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«ЮРАЙТ» https://urait.ru/ </w:t>
      </w:r>
    </w:p>
    <w:p w:rsidR="00A7124C" w:rsidRDefault="00D138DA" w:rsidP="00A343F0">
      <w:pPr>
        <w:pStyle w:val="afe"/>
        <w:widowControl/>
        <w:numPr>
          <w:ilvl w:val="0"/>
          <w:numId w:val="19"/>
        </w:numPr>
        <w:spacing w:line="276" w:lineRule="auto"/>
        <w:ind w:left="357" w:hanging="357"/>
        <w:jc w:val="both"/>
      </w:pPr>
      <w:r>
        <w:rPr>
          <w:color w:val="000000"/>
          <w:sz w:val="28"/>
          <w:szCs w:val="28"/>
        </w:rPr>
        <w:t xml:space="preserve">  Электронно-библиотечная система ЛАНЬ </w:t>
      </w:r>
      <w:hyperlink r:id="rId23">
        <w:r>
          <w:rPr>
            <w:color w:val="000000"/>
            <w:sz w:val="28"/>
            <w:szCs w:val="28"/>
          </w:rPr>
          <w:t>https://e.lanbook.com/</w:t>
        </w:r>
      </w:hyperlink>
    </w:p>
    <w:p w:rsidR="00A7124C" w:rsidRDefault="00D138DA" w:rsidP="00A343F0">
      <w:pPr>
        <w:pStyle w:val="afe"/>
        <w:widowControl/>
        <w:numPr>
          <w:ilvl w:val="0"/>
          <w:numId w:val="19"/>
        </w:numPr>
        <w:spacing w:line="276" w:lineRule="auto"/>
        <w:ind w:left="357" w:hanging="357"/>
        <w:jc w:val="both"/>
      </w:pPr>
      <w:r>
        <w:rPr>
          <w:color w:val="000000"/>
          <w:sz w:val="28"/>
          <w:szCs w:val="28"/>
        </w:rPr>
        <w:t xml:space="preserve"> Ресурсы информационно-аналитического агентства по финансовым рынкам Cbonds.ru </w:t>
      </w:r>
      <w:hyperlink r:id="rId24">
        <w:r>
          <w:rPr>
            <w:color w:val="000000"/>
            <w:sz w:val="28"/>
            <w:szCs w:val="28"/>
          </w:rPr>
          <w:t>https://cbonds.ru/</w:t>
        </w:r>
      </w:hyperlink>
    </w:p>
    <w:p w:rsidR="00A7124C" w:rsidRPr="00A343F0" w:rsidRDefault="00D138DA" w:rsidP="00A343F0">
      <w:pPr>
        <w:pStyle w:val="afe"/>
        <w:widowControl/>
        <w:numPr>
          <w:ilvl w:val="0"/>
          <w:numId w:val="19"/>
        </w:numPr>
        <w:spacing w:line="276" w:lineRule="auto"/>
        <w:ind w:left="357" w:hanging="357"/>
        <w:jc w:val="both"/>
        <w:rPr>
          <w:lang w:val="en-US"/>
        </w:rPr>
      </w:pP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  <w:lang w:val="en-US"/>
        </w:rPr>
        <w:t xml:space="preserve">CNKI. Academic Reference </w:t>
      </w:r>
      <w:hyperlink r:id="rId25">
        <w:r>
          <w:rPr>
            <w:color w:val="000000"/>
            <w:sz w:val="28"/>
            <w:szCs w:val="28"/>
            <w:lang w:val="en-US"/>
          </w:rPr>
          <w:t>https://ar.oversea.cnki.net/</w:t>
        </w:r>
      </w:hyperlink>
    </w:p>
    <w:p w:rsidR="00A7124C" w:rsidRPr="00A343F0" w:rsidRDefault="00D138DA" w:rsidP="00A343F0">
      <w:pPr>
        <w:pStyle w:val="afe"/>
        <w:widowControl/>
        <w:numPr>
          <w:ilvl w:val="0"/>
          <w:numId w:val="19"/>
        </w:numPr>
        <w:spacing w:line="276" w:lineRule="auto"/>
        <w:ind w:left="357" w:hanging="357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CNKI. China Academic Journals Full-text Database https://oversea.cnki.net/kns?dbcode=CFLQ</w:t>
      </w:r>
    </w:p>
    <w:p w:rsidR="00A7124C" w:rsidRDefault="00A7124C">
      <w:pPr>
        <w:pStyle w:val="afe"/>
        <w:widowControl/>
        <w:spacing w:after="120" w:line="276" w:lineRule="auto"/>
        <w:ind w:left="567"/>
        <w:jc w:val="both"/>
        <w:rPr>
          <w:szCs w:val="28"/>
          <w:lang w:val="en-US"/>
        </w:rPr>
      </w:pPr>
    </w:p>
    <w:p w:rsidR="00A7124C" w:rsidRDefault="00D138DA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7" w:name="_Toc119582454"/>
      <w:r>
        <w:rPr>
          <w:rFonts w:ascii="Times New Roman" w:hAnsi="Times New Roman" w:cs="Times New Roman"/>
          <w:bCs w:val="0"/>
          <w:color w:val="auto"/>
        </w:rPr>
        <w:lastRenderedPageBreak/>
        <w:t>10. Методические указания для обучающихся по освоению дисциплины</w:t>
      </w:r>
      <w:bookmarkEnd w:id="17"/>
    </w:p>
    <w:p w:rsidR="00A7124C" w:rsidRDefault="00D138D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</w:t>
      </w:r>
    </w:p>
    <w:p w:rsidR="00A7124C" w:rsidRDefault="00D138D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 </w:t>
      </w:r>
    </w:p>
    <w:p w:rsidR="00A7124C" w:rsidRDefault="00D138DA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8" w:name="_Toc119582455"/>
      <w:r>
        <w:rPr>
          <w:rFonts w:ascii="Times New Roman" w:hAnsi="Times New Roman" w:cs="Times New Roman"/>
          <w:bCs w:val="0"/>
          <w:color w:val="auto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18"/>
    </w:p>
    <w:p w:rsidR="00A7124C" w:rsidRDefault="00A7124C">
      <w:pPr>
        <w:rPr>
          <w:rFonts w:eastAsia="Calibri"/>
        </w:rPr>
      </w:pPr>
    </w:p>
    <w:p w:rsidR="00A7124C" w:rsidRDefault="00D138DA">
      <w:pPr>
        <w:keepNext/>
        <w:jc w:val="both"/>
        <w:outlineLvl w:val="0"/>
        <w:rPr>
          <w:rFonts w:eastAsia="Calibri"/>
          <w:b/>
          <w:sz w:val="28"/>
        </w:rPr>
      </w:pPr>
      <w:bookmarkStart w:id="19" w:name="_Toc119582456"/>
      <w:bookmarkStart w:id="20" w:name="_Toc115871084"/>
      <w:bookmarkStart w:id="21" w:name="_Toc22036690"/>
      <w:bookmarkStart w:id="22" w:name="_Toc531686467"/>
      <w:bookmarkStart w:id="23" w:name="_Toc531614950"/>
      <w:r>
        <w:rPr>
          <w:rFonts w:eastAsia="Calibri"/>
          <w:b/>
          <w:sz w:val="28"/>
        </w:rPr>
        <w:t>11. 1. Комплект лицензионного программного обеспечения:</w:t>
      </w:r>
      <w:bookmarkEnd w:id="19"/>
      <w:bookmarkEnd w:id="20"/>
      <w:bookmarkEnd w:id="21"/>
      <w:bookmarkEnd w:id="22"/>
      <w:bookmarkEnd w:id="23"/>
    </w:p>
    <w:p w:rsidR="00A7124C" w:rsidRPr="008A3BB9" w:rsidRDefault="00D138DA">
      <w:pPr>
        <w:spacing w:line="360" w:lineRule="auto"/>
        <w:ind w:firstLine="709"/>
        <w:jc w:val="both"/>
        <w:rPr>
          <w:sz w:val="28"/>
          <w:szCs w:val="28"/>
        </w:rPr>
      </w:pPr>
      <w:r w:rsidRPr="008A3BB9">
        <w:rPr>
          <w:sz w:val="28"/>
          <w:szCs w:val="28"/>
        </w:rPr>
        <w:t xml:space="preserve">1. </w:t>
      </w:r>
      <w:r>
        <w:rPr>
          <w:sz w:val="28"/>
          <w:szCs w:val="28"/>
        </w:rPr>
        <w:t>ОС</w:t>
      </w:r>
      <w:r w:rsidRPr="008A3BB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Windows</w:t>
      </w:r>
      <w:r w:rsidRPr="008A3BB9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8A3BB9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8A3BB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Astra</w:t>
      </w:r>
      <w:r w:rsidRPr="008A3BB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</w:p>
    <w:p w:rsidR="00A7124C" w:rsidRPr="008A3BB9" w:rsidRDefault="00D138DA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Toc531686468"/>
      <w:bookmarkStart w:id="25" w:name="_Toc531614951"/>
      <w:r w:rsidRPr="008A3BB9">
        <w:rPr>
          <w:sz w:val="28"/>
          <w:szCs w:val="28"/>
        </w:rPr>
        <w:t xml:space="preserve">2. </w:t>
      </w:r>
      <w:r>
        <w:rPr>
          <w:sz w:val="28"/>
          <w:szCs w:val="28"/>
          <w:lang w:val="en-US"/>
        </w:rPr>
        <w:t>Microsoft</w:t>
      </w:r>
      <w:r w:rsidRPr="008A3BB9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Office</w:t>
      </w:r>
      <w:bookmarkEnd w:id="24"/>
      <w:bookmarkEnd w:id="25"/>
      <w:r w:rsidRPr="008A3BB9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8A3BB9">
        <w:rPr>
          <w:sz w:val="28"/>
          <w:szCs w:val="28"/>
        </w:rPr>
        <w:t xml:space="preserve"> </w:t>
      </w:r>
      <w:r>
        <w:rPr>
          <w:sz w:val="28"/>
          <w:szCs w:val="28"/>
        </w:rPr>
        <w:t>пакет</w:t>
      </w:r>
      <w:r w:rsidRPr="008A3BB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LibreOffice</w:t>
      </w:r>
    </w:p>
    <w:p w:rsidR="00A7124C" w:rsidRPr="008A3BB9" w:rsidRDefault="00D138DA">
      <w:pPr>
        <w:spacing w:line="360" w:lineRule="auto"/>
        <w:ind w:firstLine="709"/>
        <w:jc w:val="both"/>
        <w:rPr>
          <w:sz w:val="28"/>
          <w:szCs w:val="28"/>
        </w:rPr>
      </w:pPr>
      <w:r w:rsidRPr="008A3BB9">
        <w:rPr>
          <w:sz w:val="28"/>
          <w:szCs w:val="28"/>
        </w:rPr>
        <w:t xml:space="preserve">3. </w:t>
      </w:r>
      <w:r>
        <w:rPr>
          <w:sz w:val="28"/>
          <w:szCs w:val="28"/>
        </w:rPr>
        <w:t>Приложение</w:t>
      </w:r>
      <w:r w:rsidRPr="008A3BB9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8A3BB9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</w:t>
      </w:r>
      <w:r w:rsidRPr="008A3BB9">
        <w:rPr>
          <w:sz w:val="28"/>
          <w:szCs w:val="28"/>
        </w:rPr>
        <w:t>-</w:t>
      </w:r>
      <w:r>
        <w:rPr>
          <w:sz w:val="28"/>
          <w:szCs w:val="28"/>
        </w:rPr>
        <w:t>аналитики</w:t>
      </w:r>
      <w:r w:rsidRPr="008A3BB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MS</w:t>
      </w:r>
      <w:r w:rsidRPr="008A3BB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 w:rsidRPr="008A3BB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BI</w:t>
      </w:r>
      <w:r w:rsidRPr="008A3BB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Desktop</w:t>
      </w:r>
    </w:p>
    <w:p w:rsidR="00A7124C" w:rsidRDefault="00D138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Онлайн-приложение для бизнес-аналитики</w:t>
      </w:r>
      <w:r>
        <w:t xml:space="preserve"> </w:t>
      </w:r>
      <w:r>
        <w:rPr>
          <w:sz w:val="28"/>
          <w:szCs w:val="28"/>
        </w:rPr>
        <w:t>Yandex DataLens</w:t>
      </w:r>
    </w:p>
    <w:p w:rsidR="00A7124C" w:rsidRDefault="00D138DA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Toc531686469"/>
      <w:bookmarkStart w:id="27" w:name="_Toc531614952"/>
      <w:r>
        <w:rPr>
          <w:sz w:val="28"/>
          <w:szCs w:val="28"/>
        </w:rPr>
        <w:t xml:space="preserve">5. Антивирус </w:t>
      </w:r>
      <w:bookmarkEnd w:id="26"/>
      <w:bookmarkEnd w:id="27"/>
      <w:r>
        <w:rPr>
          <w:sz w:val="28"/>
          <w:szCs w:val="28"/>
          <w:lang w:val="en-US"/>
        </w:rPr>
        <w:t>Kaspersky</w:t>
      </w:r>
    </w:p>
    <w:p w:rsidR="00A7124C" w:rsidRDefault="00D138DA">
      <w:pPr>
        <w:keepNext/>
        <w:jc w:val="both"/>
        <w:outlineLvl w:val="0"/>
        <w:rPr>
          <w:rFonts w:eastAsia="Calibri"/>
          <w:sz w:val="28"/>
        </w:rPr>
      </w:pPr>
      <w:bookmarkStart w:id="28" w:name="_Toc119582457"/>
      <w:bookmarkStart w:id="29" w:name="_Toc115871085"/>
      <w:bookmarkStart w:id="30" w:name="_Toc22036691"/>
      <w:bookmarkStart w:id="31" w:name="_Toc531686470"/>
      <w:bookmarkStart w:id="32" w:name="_Toc531614953"/>
      <w:r>
        <w:rPr>
          <w:rFonts w:eastAsia="Calibri"/>
          <w:b/>
          <w:sz w:val="28"/>
        </w:rPr>
        <w:t>11.2. Современные профессиональные базы данных и информационные справочные системы</w:t>
      </w:r>
      <w:bookmarkEnd w:id="28"/>
      <w:bookmarkEnd w:id="29"/>
      <w:bookmarkEnd w:id="30"/>
      <w:bookmarkEnd w:id="31"/>
      <w:bookmarkEnd w:id="32"/>
    </w:p>
    <w:p w:rsidR="00A7124C" w:rsidRDefault="00D138DA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Банк России. Раскрытие информации кредитными организациями. 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6" w:tgtFrame="http://www.cbr.ru/banking_sector/otchetnost-kreditnykh-organizaciy/transparent/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cbr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banking</w:t>
        </w:r>
        <w:r>
          <w:rPr>
            <w:sz w:val="28"/>
            <w:szCs w:val="28"/>
          </w:rPr>
          <w:t>_</w:t>
        </w:r>
        <w:r>
          <w:rPr>
            <w:sz w:val="28"/>
            <w:szCs w:val="28"/>
            <w:lang w:val="en-US"/>
          </w:rPr>
          <w:t>sector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otchetnost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kreditnykh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organizaciy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transparent</w:t>
        </w:r>
        <w:r>
          <w:rPr>
            <w:sz w:val="28"/>
            <w:szCs w:val="28"/>
          </w:rPr>
          <w:t>/</w:t>
        </w:r>
      </w:hyperlink>
      <w:r>
        <w:rPr>
          <w:rFonts w:eastAsia="Calibri"/>
          <w:bCs/>
          <w:sz w:val="28"/>
          <w:szCs w:val="28"/>
        </w:rPr>
        <w:t xml:space="preserve"> .</w:t>
      </w:r>
    </w:p>
    <w:p w:rsidR="00A7124C" w:rsidRDefault="00D138DA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2. Портал банковского аналитика. </w:t>
      </w:r>
      <w:r>
        <w:rPr>
          <w:sz w:val="28"/>
          <w:szCs w:val="28"/>
        </w:rPr>
        <w:t xml:space="preserve">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7" w:tgtFrame="https://analizbankov.ru/bank.php">
        <w:r>
          <w:rPr>
            <w:rFonts w:eastAsia="Calibri"/>
            <w:bCs/>
            <w:sz w:val="28"/>
            <w:szCs w:val="28"/>
          </w:rPr>
          <w:t>https://analizbankov.ru/bank.php</w:t>
        </w:r>
      </w:hyperlink>
      <w:r>
        <w:rPr>
          <w:rFonts w:eastAsia="Calibri"/>
          <w:bCs/>
          <w:sz w:val="28"/>
          <w:szCs w:val="28"/>
        </w:rPr>
        <w:t xml:space="preserve">. </w:t>
      </w:r>
    </w:p>
    <w:p w:rsidR="00A7124C" w:rsidRDefault="00D138DA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3. Портал арбитражных дел «Электронное правосудие» (</w:t>
      </w:r>
      <w:hyperlink r:id="rId28" w:tgtFrame="https://kad.arbitr.ru/">
        <w:r>
          <w:rPr>
            <w:sz w:val="28"/>
            <w:szCs w:val="28"/>
          </w:rPr>
          <w:t>https://kad.arbitr.ru/</w:t>
        </w:r>
      </w:hyperlink>
      <w:r>
        <w:rPr>
          <w:sz w:val="28"/>
          <w:szCs w:val="28"/>
        </w:rPr>
        <w:t>).</w:t>
      </w:r>
    </w:p>
    <w:p w:rsidR="00A7124C" w:rsidRDefault="00D138DA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Информационно-правовая система «Гарант»</w:t>
      </w:r>
    </w:p>
    <w:p w:rsidR="00A7124C" w:rsidRDefault="00D138DA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5. Информационно-правовая система «Консультант Плюс»</w:t>
      </w:r>
    </w:p>
    <w:p w:rsidR="00A7124C" w:rsidRDefault="00A7124C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i/>
          <w:iCs/>
          <w:sz w:val="28"/>
          <w:szCs w:val="28"/>
        </w:rPr>
      </w:pPr>
    </w:p>
    <w:p w:rsidR="00A7124C" w:rsidRDefault="00D138DA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A7124C" w:rsidRDefault="00D138DA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A7124C" w:rsidRDefault="00A7124C">
      <w:pPr>
        <w:spacing w:line="360" w:lineRule="auto"/>
        <w:jc w:val="both"/>
        <w:rPr>
          <w:b/>
          <w:bCs/>
          <w:sz w:val="28"/>
          <w:szCs w:val="28"/>
        </w:rPr>
      </w:pPr>
    </w:p>
    <w:p w:rsidR="00A7124C" w:rsidRDefault="00D138DA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33" w:name="_Toc119582458"/>
      <w:r>
        <w:rPr>
          <w:rFonts w:ascii="Times New Roman" w:hAnsi="Times New Roman" w:cs="Times New Roman"/>
          <w:bCs w:val="0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3"/>
    </w:p>
    <w:p w:rsidR="00A7124C" w:rsidRDefault="00D138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дисциплине должен осуществляться в учебных аудиториях, имеющих выход в Интернет, оборудованных мультимедийными средствами, системами дистанционного проектирования и техническим средствами обучения, имеющих доступ к профессиональным базам данных, ресурсам Библиотечно-информационного комплекса Финансового университета, другим полнотекстовым электронным библиотекам и коллекциям.</w:t>
      </w:r>
    </w:p>
    <w:p w:rsidR="00A7124C" w:rsidRDefault="00A7124C">
      <w:pPr>
        <w:spacing w:line="360" w:lineRule="auto"/>
        <w:ind w:firstLine="709"/>
        <w:jc w:val="both"/>
        <w:rPr>
          <w:sz w:val="28"/>
          <w:szCs w:val="28"/>
        </w:rPr>
      </w:pPr>
    </w:p>
    <w:p w:rsidR="00A7124C" w:rsidRDefault="00A7124C">
      <w:pPr>
        <w:widowControl/>
        <w:spacing w:line="360" w:lineRule="auto"/>
        <w:ind w:firstLine="709"/>
        <w:rPr>
          <w:b/>
          <w:sz w:val="28"/>
          <w:szCs w:val="28"/>
        </w:rPr>
      </w:pPr>
    </w:p>
    <w:sectPr w:rsidR="00A7124C">
      <w:footerReference w:type="default" r:id="rId29"/>
      <w:pgSz w:w="11906" w:h="16838"/>
      <w:pgMar w:top="1134" w:right="567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059" w:rsidRDefault="00B35059">
      <w:r>
        <w:separator/>
      </w:r>
    </w:p>
  </w:endnote>
  <w:endnote w:type="continuationSeparator" w:id="0">
    <w:p w:rsidR="00B35059" w:rsidRDefault="00B35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6799720"/>
      <w:docPartObj>
        <w:docPartGallery w:val="Page Numbers (Bottom of Page)"/>
        <w:docPartUnique/>
      </w:docPartObj>
    </w:sdtPr>
    <w:sdtEndPr/>
    <w:sdtContent>
      <w:p w:rsidR="00A7124C" w:rsidRDefault="00D138DA">
        <w:pPr>
          <w:pStyle w:val="aff2"/>
          <w:jc w:val="center"/>
          <w:rPr>
            <w:sz w:val="22"/>
            <w:szCs w:val="22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8A3BB9">
          <w:rPr>
            <w:noProof/>
          </w:rPr>
          <w:t>2</w:t>
        </w:r>
        <w:r>
          <w:fldChar w:fldCharType="end"/>
        </w:r>
      </w:p>
      <w:p w:rsidR="00A7124C" w:rsidRDefault="00B35059">
        <w:pPr>
          <w:pStyle w:val="aff2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0303751"/>
      <w:docPartObj>
        <w:docPartGallery w:val="Page Numbers (Bottom of Page)"/>
        <w:docPartUnique/>
      </w:docPartObj>
    </w:sdtPr>
    <w:sdtEndPr/>
    <w:sdtContent>
      <w:p w:rsidR="00A7124C" w:rsidRDefault="00D138DA">
        <w:pPr>
          <w:pStyle w:val="aff2"/>
          <w:jc w:val="center"/>
          <w:rPr>
            <w:sz w:val="22"/>
            <w:szCs w:val="22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8A3BB9">
          <w:rPr>
            <w:noProof/>
          </w:rPr>
          <w:t>3</w:t>
        </w:r>
        <w:r>
          <w:fldChar w:fldCharType="end"/>
        </w:r>
      </w:p>
      <w:p w:rsidR="00A7124C" w:rsidRDefault="00B35059">
        <w:pPr>
          <w:pStyle w:val="aff2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9945196"/>
      <w:docPartObj>
        <w:docPartGallery w:val="Page Numbers (Bottom of Page)"/>
        <w:docPartUnique/>
      </w:docPartObj>
    </w:sdtPr>
    <w:sdtEndPr/>
    <w:sdtContent>
      <w:p w:rsidR="00A7124C" w:rsidRDefault="00D138DA">
        <w:pPr>
          <w:pStyle w:val="aff2"/>
          <w:jc w:val="center"/>
          <w:rPr>
            <w:sz w:val="22"/>
            <w:szCs w:val="22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8A3BB9">
          <w:rPr>
            <w:noProof/>
          </w:rPr>
          <w:t>28</w:t>
        </w:r>
        <w:r>
          <w:fldChar w:fldCharType="end"/>
        </w:r>
      </w:p>
      <w:p w:rsidR="00A7124C" w:rsidRDefault="00B35059">
        <w:pPr>
          <w:pStyle w:val="aff2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59787"/>
      <w:docPartObj>
        <w:docPartGallery w:val="Page Numbers (Bottom of Page)"/>
        <w:docPartUnique/>
      </w:docPartObj>
    </w:sdtPr>
    <w:sdtEndPr/>
    <w:sdtContent>
      <w:p w:rsidR="00A7124C" w:rsidRDefault="00D138DA">
        <w:pPr>
          <w:pStyle w:val="aff2"/>
          <w:jc w:val="center"/>
          <w:rPr>
            <w:sz w:val="22"/>
            <w:szCs w:val="22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8A3BB9">
          <w:rPr>
            <w:noProof/>
          </w:rPr>
          <w:t>35</w:t>
        </w:r>
        <w:r>
          <w:fldChar w:fldCharType="end"/>
        </w:r>
      </w:p>
      <w:p w:rsidR="00A7124C" w:rsidRDefault="00B35059">
        <w:pPr>
          <w:pStyle w:val="aff2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059" w:rsidRDefault="00B35059">
      <w:pPr>
        <w:rPr>
          <w:sz w:val="12"/>
        </w:rPr>
      </w:pPr>
      <w:r>
        <w:separator/>
      </w:r>
    </w:p>
  </w:footnote>
  <w:footnote w:type="continuationSeparator" w:id="0">
    <w:p w:rsidR="00B35059" w:rsidRDefault="00B35059">
      <w:pPr>
        <w:rPr>
          <w:sz w:val="12"/>
        </w:rPr>
      </w:pPr>
      <w:r>
        <w:continuationSeparator/>
      </w:r>
    </w:p>
  </w:footnote>
  <w:footnote w:id="1">
    <w:p w:rsidR="00A7124C" w:rsidRDefault="00D138DA">
      <w:pPr>
        <w:pStyle w:val="a7"/>
      </w:pPr>
      <w:r>
        <w:rPr>
          <w:rStyle w:val="af2"/>
        </w:rPr>
        <w:footnoteRef/>
      </w:r>
      <w:r>
        <w:t xml:space="preserve"> Банк России. Принципы стресс-тестирования. Октябрь 2018. Неофициальный перевод. </w:t>
      </w:r>
      <w:r>
        <w:rPr>
          <w:lang w:val="en-US"/>
        </w:rPr>
        <w:t>URL</w:t>
      </w:r>
      <w:r>
        <w:t xml:space="preserve">: </w:t>
      </w:r>
      <w:hyperlink r:id="rId1" w:tgtFrame="https://cbr.ru/Content/Document/File/71891/bis_20190507_2.pdf">
        <w:r>
          <w:t>https://cbr.ru/Content/Document/File/71891/bis_20190507_2.pdf</w:t>
        </w:r>
      </w:hyperlink>
      <w:r>
        <w:t xml:space="preserve"> .</w:t>
      </w:r>
    </w:p>
  </w:footnote>
  <w:footnote w:id="2">
    <w:p w:rsidR="00A7124C" w:rsidRDefault="00D138DA">
      <w:pPr>
        <w:pStyle w:val="a7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Guidelines on stress testing/ Final report. European Banking Authority. 2019. URL: </w:t>
      </w:r>
      <w:hyperlink r:id="rId2">
        <w:r>
          <w:rPr>
            <w:lang w:val="en-US"/>
          </w:rPr>
          <w:t>https://www.eba.europa.eu/guidelines-stress-testing</w:t>
        </w:r>
      </w:hyperlink>
      <w:r>
        <w:rPr>
          <w:lang w:val="en-US"/>
        </w:rPr>
        <w:t xml:space="preserve"> .</w:t>
      </w:r>
    </w:p>
  </w:footnote>
  <w:footnote w:id="3">
    <w:p w:rsidR="00A7124C" w:rsidRDefault="00D138DA">
      <w:pPr>
        <w:pStyle w:val="a7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2023 EU-wide stress test results/ European Banking Authority. 2019. URL: </w:t>
      </w:r>
      <w:hyperlink r:id="rId3">
        <w:r>
          <w:rPr>
            <w:lang w:val="en-US"/>
          </w:rPr>
          <w:t>https://www.eba.europa.eu/risk-and-data-analysis/risk-analysis/eu-wide-stress-testing/stress-test-2023</w:t>
        </w:r>
      </w:hyperlink>
      <w:r>
        <w:rPr>
          <w:lang w:val="en-US"/>
        </w:rPr>
        <w:t xml:space="preserve">. </w:t>
      </w:r>
    </w:p>
  </w:footnote>
  <w:footnote w:id="4">
    <w:p w:rsidR="00A7124C" w:rsidRDefault="00D138DA">
      <w:pPr>
        <w:pStyle w:val="a7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Key Attributes of Effective Resolution Regimes for Financial Institutions/ FSB. 15 October 2014. URL: </w:t>
      </w:r>
      <w:hyperlink r:id="rId4" w:tgtFrame="https://www.fsb.org/2014/10/key-attributes-of-effective-resolution-regimes-for-financial-institutions-3/">
        <w:r>
          <w:rPr>
            <w:lang w:val="en-US"/>
          </w:rPr>
          <w:t>https://www.fsb.org/2014/10/key-attributes-of-effective-resolution-regimes-for-financial-institutions-3/</w:t>
        </w:r>
      </w:hyperlink>
      <w:r>
        <w:rPr>
          <w:lang w:val="en-US"/>
        </w:rPr>
        <w:t xml:space="preserve"> .</w:t>
      </w:r>
    </w:p>
  </w:footnote>
  <w:footnote w:id="5">
    <w:p w:rsidR="00A7124C" w:rsidRDefault="00D138DA">
      <w:pPr>
        <w:pStyle w:val="a7"/>
      </w:pPr>
      <w:r>
        <w:rPr>
          <w:rStyle w:val="af2"/>
        </w:rPr>
        <w:footnoteRef/>
      </w:r>
      <w:r>
        <w:t xml:space="preserve"> На момент подготовки данной РПД наиболее актуальный доклад был выпущен в конце 2023 года.</w:t>
      </w:r>
    </w:p>
    <w:p w:rsidR="00A7124C" w:rsidRDefault="00D138DA">
      <w:pPr>
        <w:pStyle w:val="a7"/>
        <w:rPr>
          <w:lang w:val="en-US"/>
        </w:rPr>
      </w:pPr>
      <w:r>
        <w:rPr>
          <w:lang w:val="en-US"/>
        </w:rPr>
        <w:t xml:space="preserve">2023 Resolution Report: «Applying lessons learnt»/ FSB. 15 December 2023. URL: </w:t>
      </w:r>
      <w:hyperlink r:id="rId5" w:tgtFrame="https://www.fsb.org/2023/12/2023-resolution-report-applying-lessons-learnt/">
        <w:r>
          <w:rPr>
            <w:lang w:val="en-US"/>
          </w:rPr>
          <w:t>https://www.fsb.org/2023/12/2023-resolution-report-applying-lessons-learnt/</w:t>
        </w:r>
      </w:hyperlink>
      <w:r>
        <w:rPr>
          <w:lang w:val="en-US"/>
        </w:rPr>
        <w:t xml:space="preserve"> . </w:t>
      </w:r>
    </w:p>
    <w:p w:rsidR="00A7124C" w:rsidRDefault="00D138DA">
      <w:pPr>
        <w:pStyle w:val="a7"/>
        <w:rPr>
          <w:lang w:val="en-US"/>
        </w:rPr>
      </w:pPr>
      <w:r>
        <w:rPr>
          <w:lang w:val="en-US"/>
        </w:rPr>
        <w:t xml:space="preserve">2022 Resolution Report: “Completing the agenda and sustaining progress”/ FSB. 8 December 2022. URL: </w:t>
      </w:r>
      <w:hyperlink r:id="rId6" w:tgtFrame="https://www.fsb.org/wp-content/uploads/P081222.pdf">
        <w:r>
          <w:rPr>
            <w:lang w:val="en-US"/>
          </w:rPr>
          <w:t>https://www.fsb.org/wp-content/uploads/P081222.pdf</w:t>
        </w:r>
      </w:hyperlink>
      <w:r>
        <w:rPr>
          <w:lang w:val="en-US"/>
        </w:rPr>
        <w:t xml:space="preserve"> .</w:t>
      </w:r>
    </w:p>
  </w:footnote>
  <w:footnote w:id="6">
    <w:p w:rsidR="00A7124C" w:rsidRDefault="00D138DA">
      <w:pPr>
        <w:pStyle w:val="a7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2023 Bank Failures: Preliminary lessons learnt for resolution/ FSB. 10 October 2023. URL: </w:t>
      </w:r>
      <w:hyperlink r:id="rId7" w:tgtFrame="https://www.fsb.org/2023/10/2023-bank-failures-preliminary-lessons-learnt-for-resolution/">
        <w:r>
          <w:rPr>
            <w:lang w:val="en-US"/>
          </w:rPr>
          <w:t>https://www.fsb.org/2023/10/2023-bank-failures-preliminary-lessons-learnt-for-resolution/</w:t>
        </w:r>
      </w:hyperlink>
      <w:r>
        <w:rPr>
          <w:lang w:val="en-US"/>
        </w:rPr>
        <w:t xml:space="preserve"> .</w:t>
      </w:r>
    </w:p>
  </w:footnote>
  <w:footnote w:id="7">
    <w:p w:rsidR="00A7124C" w:rsidRDefault="00D138DA">
      <w:pPr>
        <w:pStyle w:val="a7"/>
        <w:jc w:val="both"/>
        <w:rPr>
          <w:sz w:val="22"/>
          <w:szCs w:val="22"/>
        </w:rPr>
      </w:pPr>
      <w:r>
        <w:rPr>
          <w:rStyle w:val="af2"/>
        </w:rPr>
        <w:footnoteRef/>
      </w:r>
      <w:r>
        <w:rPr>
          <w:sz w:val="22"/>
          <w:szCs w:val="22"/>
        </w:rPr>
        <w:t xml:space="preserve"> </w:t>
      </w:r>
      <w:r>
        <w:rPr>
          <w:sz w:val="22"/>
          <w:szCs w:val="22"/>
          <w:shd w:val="clear" w:color="auto" w:fill="FFFFFF"/>
        </w:rPr>
        <w:t>Положение Банка России от 4 октября 2018 г. N 653-П «О требованиях к содержанию, порядке и сроках представления кредитными организациями в Банк России планов восстановления финансовой устойчивости, изменений, вносимых в планы восстановления финансовой устойчивости, порядке их оценки Банком России, а также о порядке информирования кредитными организациями Банка России о наступлении в их деятельности событий, предусмотренных планом восстановления финансовой устойчивости, и принятии решения о начале его реализации»</w:t>
      </w:r>
    </w:p>
  </w:footnote>
  <w:footnote w:id="8">
    <w:p w:rsidR="00A7124C" w:rsidRDefault="00D138DA">
      <w:pPr>
        <w:pStyle w:val="a7"/>
        <w:rPr>
          <w:sz w:val="22"/>
          <w:szCs w:val="22"/>
          <w:lang w:val="en-US"/>
        </w:rPr>
      </w:pPr>
      <w:r>
        <w:rPr>
          <w:rStyle w:val="af2"/>
        </w:rPr>
        <w:footnoteRef/>
      </w:r>
      <w:r>
        <w:rPr>
          <w:sz w:val="22"/>
          <w:szCs w:val="22"/>
        </w:rPr>
        <w:t xml:space="preserve"> См, например, Доклад Банка России «Международный опыт разработки планов восстановления финансовой устойчивости». </w:t>
      </w:r>
      <w:r>
        <w:rPr>
          <w:sz w:val="22"/>
          <w:szCs w:val="22"/>
          <w:lang w:val="en-US"/>
        </w:rPr>
        <w:t xml:space="preserve">2011. URL: </w:t>
      </w:r>
      <w:hyperlink r:id="rId8" w:tgtFrame="https://cbr.ru/Content/Document/File/131711/information_report_20211220.pdf">
        <w:r>
          <w:rPr>
            <w:sz w:val="22"/>
            <w:szCs w:val="22"/>
            <w:lang w:val="en-US"/>
          </w:rPr>
          <w:t>https://cbr.ru/Content/Document/File/131711/information_report_20211220.pdf</w:t>
        </w:r>
      </w:hyperlink>
      <w:r>
        <w:rPr>
          <w:sz w:val="22"/>
          <w:szCs w:val="22"/>
          <w:lang w:val="en-US"/>
        </w:rPr>
        <w:t xml:space="preserve"> .</w:t>
      </w:r>
    </w:p>
  </w:footnote>
  <w:footnote w:id="9">
    <w:p w:rsidR="00A7124C" w:rsidRDefault="00D138DA">
      <w:pPr>
        <w:pStyle w:val="a7"/>
        <w:rPr>
          <w:sz w:val="22"/>
          <w:szCs w:val="22"/>
          <w:lang w:val="en-US"/>
        </w:rPr>
      </w:pPr>
      <w:r>
        <w:rPr>
          <w:rStyle w:val="af2"/>
        </w:rPr>
        <w:footnoteRef/>
      </w:r>
      <w:r>
        <w:rPr>
          <w:sz w:val="22"/>
          <w:szCs w:val="22"/>
          <w:lang w:val="en-US"/>
        </w:rPr>
        <w:t xml:space="preserve"> Federal Reserve Board. Living Wills (or Resolution Plans). URL: </w:t>
      </w:r>
      <w:hyperlink r:id="rId9" w:tgtFrame="https://www.federalreserve.gov/supervisionreg/resolution-plans.htm">
        <w:r>
          <w:rPr>
            <w:sz w:val="22"/>
            <w:szCs w:val="22"/>
            <w:lang w:val="en-US"/>
          </w:rPr>
          <w:t>https://www.federalreserve.gov/supervisionreg/resolution-plans.htm</w:t>
        </w:r>
      </w:hyperlink>
      <w:r>
        <w:rPr>
          <w:sz w:val="22"/>
          <w:szCs w:val="22"/>
          <w:lang w:val="en-US"/>
        </w:rPr>
        <w:t xml:space="preserve"> . </w:t>
      </w:r>
    </w:p>
  </w:footnote>
  <w:footnote w:id="10">
    <w:p w:rsidR="00A7124C" w:rsidRDefault="00D138DA">
      <w:pPr>
        <w:pStyle w:val="a7"/>
        <w:rPr>
          <w:sz w:val="22"/>
          <w:szCs w:val="22"/>
          <w:lang w:val="en-US"/>
        </w:rPr>
      </w:pPr>
      <w:r>
        <w:rPr>
          <w:rStyle w:val="af2"/>
        </w:rPr>
        <w:footnoteRef/>
      </w:r>
      <w:r>
        <w:rPr>
          <w:sz w:val="22"/>
          <w:szCs w:val="22"/>
          <w:lang w:val="en-US"/>
        </w:rPr>
        <w:t xml:space="preserve"> Single supervisory mechanism/ European Commission. URL: </w:t>
      </w:r>
      <w:hyperlink r:id="rId10">
        <w:r>
          <w:rPr>
            <w:sz w:val="22"/>
            <w:szCs w:val="22"/>
            <w:lang w:val="en-US"/>
          </w:rPr>
          <w:t>https://finance.ec.europa.eu/banking/banking-union/single-supervisory-mechanism_en</w:t>
        </w:r>
      </w:hyperlink>
      <w:r>
        <w:rPr>
          <w:sz w:val="22"/>
          <w:szCs w:val="22"/>
          <w:lang w:val="en-US"/>
        </w:rPr>
        <w:t xml:space="preserve"> .</w:t>
      </w:r>
    </w:p>
  </w:footnote>
  <w:footnote w:id="11">
    <w:p w:rsidR="00A7124C" w:rsidRDefault="00D138DA">
      <w:pPr>
        <w:pStyle w:val="a7"/>
        <w:rPr>
          <w:sz w:val="22"/>
          <w:szCs w:val="22"/>
          <w:lang w:val="en-US"/>
        </w:rPr>
      </w:pPr>
      <w:r>
        <w:rPr>
          <w:rStyle w:val="af2"/>
        </w:rPr>
        <w:footnoteRef/>
      </w:r>
      <w:r>
        <w:rPr>
          <w:sz w:val="22"/>
          <w:szCs w:val="22"/>
          <w:lang w:val="en-US"/>
        </w:rPr>
        <w:t xml:space="preserve"> Single resolution mechanism/ European Commission. URL: </w:t>
      </w:r>
      <w:hyperlink r:id="rId11">
        <w:r>
          <w:rPr>
            <w:sz w:val="22"/>
            <w:szCs w:val="22"/>
            <w:lang w:val="en-US"/>
          </w:rPr>
          <w:t>https://finance.ec.europa.eu/banking/banking-union/single-resolution-mechanism_en</w:t>
        </w:r>
      </w:hyperlink>
      <w:r>
        <w:rPr>
          <w:sz w:val="22"/>
          <w:szCs w:val="22"/>
          <w:lang w:val="en-US"/>
        </w:rPr>
        <w:t xml:space="preserve"> .</w:t>
      </w:r>
    </w:p>
  </w:footnote>
  <w:footnote w:id="12">
    <w:p w:rsidR="00A7124C" w:rsidRDefault="00D138DA">
      <w:pPr>
        <w:pStyle w:val="a7"/>
        <w:rPr>
          <w:sz w:val="22"/>
          <w:szCs w:val="22"/>
          <w:lang w:val="en-US"/>
        </w:rPr>
      </w:pPr>
      <w:r>
        <w:rPr>
          <w:rStyle w:val="af2"/>
        </w:rPr>
        <w:footnoteRef/>
      </w:r>
      <w:r>
        <w:rPr>
          <w:sz w:val="22"/>
          <w:szCs w:val="22"/>
          <w:lang w:val="en-US"/>
        </w:rPr>
        <w:t xml:space="preserve"> Reform of bank crisis management and deposit insurance framework/ European Commission. URL: </w:t>
      </w:r>
      <w:hyperlink r:id="rId12">
        <w:r>
          <w:rPr>
            <w:sz w:val="22"/>
            <w:szCs w:val="22"/>
            <w:lang w:val="en-US"/>
          </w:rPr>
          <w:t>https://finance.ec.europa.eu/publications/reform-bank-crisis-management-and-deposit-insurance-framework_en</w:t>
        </w:r>
      </w:hyperlink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ю</w:t>
      </w:r>
    </w:p>
  </w:footnote>
  <w:footnote w:id="13">
    <w:p w:rsidR="00A7124C" w:rsidRDefault="00D138DA">
      <w:pPr>
        <w:pStyle w:val="a7"/>
        <w:rPr>
          <w:lang w:val="en-US"/>
        </w:rPr>
      </w:pPr>
      <w:r>
        <w:rPr>
          <w:rStyle w:val="af2"/>
        </w:rPr>
        <w:footnoteRef/>
      </w:r>
      <w:r>
        <w:t xml:space="preserve"> См., например, ПВФУ американских банков на сайте ФРС США. </w:t>
      </w:r>
      <w:r>
        <w:rPr>
          <w:lang w:val="en-US"/>
        </w:rPr>
        <w:t xml:space="preserve">URL: </w:t>
      </w:r>
      <w:hyperlink r:id="rId13" w:tgtFrame="https://www.federalreserve.gov/supervisionreg/resolution-plans.htm">
        <w:r>
          <w:rPr>
            <w:lang w:val="en-US"/>
          </w:rPr>
          <w:t>https://www.federalreserve.gov/supervisionreg/resolution-plans.htm</w:t>
        </w:r>
      </w:hyperlink>
      <w:r>
        <w:rPr>
          <w:rStyle w:val="-"/>
          <w:color w:val="auto"/>
          <w:u w:val="none"/>
          <w:lang w:val="en-US"/>
        </w:rPr>
        <w:t xml:space="preserve"> .</w:t>
      </w:r>
      <w:r>
        <w:rPr>
          <w:rStyle w:val="-"/>
          <w:lang w:val="en-US"/>
        </w:rPr>
        <w:t xml:space="preserve"> </w:t>
      </w:r>
    </w:p>
  </w:footnote>
  <w:footnote w:id="14">
    <w:p w:rsidR="00A7124C" w:rsidRDefault="00D138DA">
      <w:pPr>
        <w:pStyle w:val="a7"/>
        <w:rPr>
          <w:lang w:val="en-US"/>
        </w:rPr>
      </w:pPr>
      <w:r>
        <w:rPr>
          <w:rStyle w:val="af2"/>
        </w:rPr>
        <w:footnoteRef/>
      </w:r>
      <w:r>
        <w:t xml:space="preserve"> Официальный сайт АСВ. Ликвидация и конкурсной производство. </w:t>
      </w:r>
      <w:r>
        <w:rPr>
          <w:lang w:val="en-US"/>
        </w:rPr>
        <w:t xml:space="preserve">URL: </w:t>
      </w:r>
      <w:hyperlink r:id="rId14" w:tgtFrame="https://www.asv.org.ru/banks?category=liquidation">
        <w:r>
          <w:rPr>
            <w:lang w:val="en-US"/>
          </w:rPr>
          <w:t>https://www.asv.org.ru/banks?category=liquidation</w:t>
        </w:r>
      </w:hyperlink>
      <w:r>
        <w:rPr>
          <w:lang w:val="en-US"/>
        </w:rPr>
        <w:t xml:space="preserve"> . </w:t>
      </w:r>
    </w:p>
  </w:footnote>
  <w:footnote w:id="15">
    <w:p w:rsidR="00A7124C" w:rsidRDefault="00D138DA">
      <w:pPr>
        <w:pStyle w:val="a7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</w:t>
      </w:r>
      <w:r>
        <w:t>См</w:t>
      </w:r>
      <w:r>
        <w:rPr>
          <w:lang w:val="en-US"/>
        </w:rPr>
        <w:t xml:space="preserve">. Stress tests/ European Central Bank. URL: </w:t>
      </w:r>
      <w:hyperlink r:id="rId15">
        <w:r>
          <w:rPr>
            <w:lang w:val="en-US"/>
          </w:rPr>
          <w:t>https://www.bankingsupervision.europa.eu/banking/tasks/stresstests/html/index.en.html</w:t>
        </w:r>
      </w:hyperlink>
      <w:r>
        <w:rPr>
          <w:lang w:val="en-US"/>
        </w:rPr>
        <w:t xml:space="preserve"> . </w:t>
      </w:r>
    </w:p>
  </w:footnote>
  <w:footnote w:id="16">
    <w:p w:rsidR="00A7124C" w:rsidRDefault="00D138DA">
      <w:pPr>
        <w:pStyle w:val="a7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Dodd-Frank Act Stress Test Publications/ Federal Reserve. URL: </w:t>
      </w:r>
      <w:hyperlink r:id="rId16">
        <w:r>
          <w:rPr>
            <w:lang w:val="en-US"/>
          </w:rPr>
          <w:t>https://www.federalreserve.gov/publications/dodd-frank-act-stress-test-publications.htm</w:t>
        </w:r>
      </w:hyperlink>
      <w:r>
        <w:rPr>
          <w:lang w:val="en-US"/>
        </w:rPr>
        <w:t xml:space="preserve"> . </w:t>
      </w:r>
    </w:p>
  </w:footnote>
  <w:footnote w:id="17">
    <w:p w:rsidR="00A7124C" w:rsidRDefault="00D138DA">
      <w:pPr>
        <w:pStyle w:val="a7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</w:t>
      </w:r>
      <w:r>
        <w:t>См</w:t>
      </w:r>
      <w:r>
        <w:rPr>
          <w:lang w:val="en-US"/>
        </w:rPr>
        <w:t xml:space="preserve">. 2023 Resolution Report/ FSB. URL: </w:t>
      </w:r>
      <w:hyperlink r:id="rId17">
        <w:r>
          <w:rPr>
            <w:lang w:val="en-US"/>
          </w:rPr>
          <w:t>https://www.fsb.org/2023/12/2023-resolution-report-applying-lessons-learnt/</w:t>
        </w:r>
      </w:hyperlink>
      <w:r>
        <w:rPr>
          <w:lang w:val="en-US"/>
        </w:rPr>
        <w:t xml:space="preserve"> 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20063"/>
    <w:multiLevelType w:val="multilevel"/>
    <w:tmpl w:val="2D989354"/>
    <w:lvl w:ilvl="0">
      <w:start w:val="1"/>
      <w:numFmt w:val="bullet"/>
      <w:lvlText w:val="−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0A079E"/>
    <w:multiLevelType w:val="multilevel"/>
    <w:tmpl w:val="BA5E30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275542"/>
    <w:multiLevelType w:val="multilevel"/>
    <w:tmpl w:val="0D3AB26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22345702"/>
    <w:multiLevelType w:val="multilevel"/>
    <w:tmpl w:val="5F14DC8A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3503F6"/>
    <w:multiLevelType w:val="multilevel"/>
    <w:tmpl w:val="5BB463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64F63A8"/>
    <w:multiLevelType w:val="multilevel"/>
    <w:tmpl w:val="DDD4996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2F5930E8"/>
    <w:multiLevelType w:val="multilevel"/>
    <w:tmpl w:val="E96EE018"/>
    <w:lvl w:ilvl="0">
      <w:start w:val="1"/>
      <w:numFmt w:val="decimal"/>
      <w:lvlText w:val="%1."/>
      <w:lvlJc w:val="left"/>
      <w:pPr>
        <w:tabs>
          <w:tab w:val="num" w:pos="0"/>
        </w:tabs>
        <w:ind w:left="2434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94" w:hanging="180"/>
      </w:pPr>
    </w:lvl>
  </w:abstractNum>
  <w:abstractNum w:abstractNumId="7" w15:restartNumberingAfterBreak="0">
    <w:nsid w:val="306D730F"/>
    <w:multiLevelType w:val="multilevel"/>
    <w:tmpl w:val="A00EE472"/>
    <w:lvl w:ilvl="0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368"/>
        </w:tabs>
        <w:ind w:left="2368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728"/>
        </w:tabs>
        <w:ind w:left="2728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3088"/>
        </w:tabs>
        <w:ind w:left="3088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3448"/>
        </w:tabs>
        <w:ind w:left="3448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808"/>
        </w:tabs>
        <w:ind w:left="3808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4168"/>
        </w:tabs>
        <w:ind w:left="4168" w:hanging="360"/>
      </w:pPr>
      <w:rPr>
        <w:rFonts w:ascii="Times New Roman" w:hAnsi="Times New Roman"/>
        <w:sz w:val="28"/>
        <w:szCs w:val="28"/>
      </w:rPr>
    </w:lvl>
  </w:abstractNum>
  <w:abstractNum w:abstractNumId="8" w15:restartNumberingAfterBreak="0">
    <w:nsid w:val="42C12F64"/>
    <w:multiLevelType w:val="multilevel"/>
    <w:tmpl w:val="98FA3D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5452927"/>
    <w:multiLevelType w:val="multilevel"/>
    <w:tmpl w:val="CC927D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AEC0B96"/>
    <w:multiLevelType w:val="multilevel"/>
    <w:tmpl w:val="391442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B3D2A3B"/>
    <w:multiLevelType w:val="multilevel"/>
    <w:tmpl w:val="A5DEE8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DEE6666"/>
    <w:multiLevelType w:val="multilevel"/>
    <w:tmpl w:val="59AA57E6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6E31284"/>
    <w:multiLevelType w:val="multilevel"/>
    <w:tmpl w:val="F71A5F02"/>
    <w:lvl w:ilvl="0">
      <w:start w:val="1"/>
      <w:numFmt w:val="decimal"/>
      <w:lvlText w:val="%1)"/>
      <w:lvlJc w:val="left"/>
      <w:pPr>
        <w:tabs>
          <w:tab w:val="num" w:pos="0"/>
        </w:tabs>
        <w:ind w:left="14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0" w:hanging="180"/>
      </w:pPr>
    </w:lvl>
  </w:abstractNum>
  <w:abstractNum w:abstractNumId="14" w15:restartNumberingAfterBreak="0">
    <w:nsid w:val="5BE11774"/>
    <w:multiLevelType w:val="multilevel"/>
    <w:tmpl w:val="C8A638A2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7D1105F"/>
    <w:multiLevelType w:val="multilevel"/>
    <w:tmpl w:val="9B7A465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A3A7741"/>
    <w:multiLevelType w:val="multilevel"/>
    <w:tmpl w:val="8FECF28E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D022395"/>
    <w:multiLevelType w:val="multilevel"/>
    <w:tmpl w:val="8448498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FDB74E6"/>
    <w:multiLevelType w:val="multilevel"/>
    <w:tmpl w:val="FD08B98C"/>
    <w:lvl w:ilvl="0">
      <w:start w:val="1"/>
      <w:numFmt w:val="bullet"/>
      <w:lvlText w:val="−"/>
      <w:lvlJc w:val="left"/>
      <w:pPr>
        <w:tabs>
          <w:tab w:val="num" w:pos="0"/>
        </w:tabs>
        <w:ind w:left="1005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5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CE94A4E"/>
    <w:multiLevelType w:val="multilevel"/>
    <w:tmpl w:val="8E4A49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19"/>
  </w:num>
  <w:num w:numId="4">
    <w:abstractNumId w:val="15"/>
  </w:num>
  <w:num w:numId="5">
    <w:abstractNumId w:val="17"/>
  </w:num>
  <w:num w:numId="6">
    <w:abstractNumId w:val="3"/>
  </w:num>
  <w:num w:numId="7">
    <w:abstractNumId w:val="4"/>
  </w:num>
  <w:num w:numId="8">
    <w:abstractNumId w:val="2"/>
  </w:num>
  <w:num w:numId="9">
    <w:abstractNumId w:val="14"/>
  </w:num>
  <w:num w:numId="10">
    <w:abstractNumId w:val="1"/>
  </w:num>
  <w:num w:numId="11">
    <w:abstractNumId w:val="12"/>
  </w:num>
  <w:num w:numId="12">
    <w:abstractNumId w:val="10"/>
  </w:num>
  <w:num w:numId="13">
    <w:abstractNumId w:val="0"/>
  </w:num>
  <w:num w:numId="14">
    <w:abstractNumId w:val="11"/>
  </w:num>
  <w:num w:numId="15">
    <w:abstractNumId w:val="5"/>
  </w:num>
  <w:num w:numId="16">
    <w:abstractNumId w:val="16"/>
  </w:num>
  <w:num w:numId="17">
    <w:abstractNumId w:val="18"/>
  </w:num>
  <w:num w:numId="18">
    <w:abstractNumId w:val="13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4C"/>
    <w:rsid w:val="00516120"/>
    <w:rsid w:val="008A3BB9"/>
    <w:rsid w:val="00A343F0"/>
    <w:rsid w:val="00A7124C"/>
    <w:rsid w:val="00B35059"/>
    <w:rsid w:val="00D138DA"/>
    <w:rsid w:val="00DD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40A1B"/>
  <w15:docId w15:val="{7DB66AB6-28D5-478D-8381-57AC63A0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3EC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943EC"/>
    <w:pPr>
      <w:widowControl/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a3">
    <w:name w:val="Подзаголовок Знак"/>
    <w:basedOn w:val="a0"/>
    <w:uiPriority w:val="11"/>
    <w:qFormat/>
    <w:rPr>
      <w:sz w:val="24"/>
      <w:szCs w:val="24"/>
    </w:rPr>
  </w:style>
  <w:style w:type="character" w:customStyle="1" w:styleId="20">
    <w:name w:val="Цитата 2 Знак"/>
    <w:link w:val="21"/>
    <w:uiPriority w:val="29"/>
    <w:qFormat/>
    <w:rPr>
      <w:i/>
    </w:rPr>
  </w:style>
  <w:style w:type="character" w:customStyle="1" w:styleId="a4">
    <w:name w:val="Выделенная цитата Знак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5">
    <w:name w:val="Текст концевой сноски Знак"/>
    <w:uiPriority w:val="99"/>
    <w:qFormat/>
    <w:rPr>
      <w:sz w:val="20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31">
    <w:name w:val="Текст сноски Знак3"/>
    <w:basedOn w:val="a0"/>
    <w:link w:val="a7"/>
    <w:uiPriority w:val="9"/>
    <w:qFormat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10">
    <w:name w:val="Цитата 2 Знак1"/>
    <w:basedOn w:val="a0"/>
    <w:link w:val="22"/>
    <w:uiPriority w:val="9"/>
    <w:qFormat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8">
    <w:name w:val="Текст сноски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Pr>
      <w:vertAlign w:val="superscript"/>
    </w:rPr>
  </w:style>
  <w:style w:type="character" w:customStyle="1" w:styleId="10">
    <w:name w:val="Текст сноски Знак1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-">
    <w:name w:val="Интернет-ссылка"/>
    <w:basedOn w:val="a0"/>
    <w:uiPriority w:val="99"/>
    <w:unhideWhenUsed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">
    <w:name w:val="Посещённая гиперссылка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FontStyle13">
    <w:name w:val="Font Style13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uiPriority w:val="99"/>
    <w:qFormat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f0">
    <w:name w:val="Strong"/>
    <w:basedOn w:val="a0"/>
    <w:uiPriority w:val="22"/>
    <w:qFormat/>
    <w:rPr>
      <w:b/>
      <w:bCs/>
    </w:rPr>
  </w:style>
  <w:style w:type="character" w:customStyle="1" w:styleId="hscoswrapper">
    <w:name w:val="hs_cos_wrapper"/>
    <w:basedOn w:val="a0"/>
    <w:qFormat/>
  </w:style>
  <w:style w:type="character" w:customStyle="1" w:styleId="22">
    <w:name w:val="Неразрешенное упоминание2"/>
    <w:basedOn w:val="a0"/>
    <w:link w:val="21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2">
    <w:name w:val="Неразрешенное упоминание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73">
    <w:name w:val="Font Style73"/>
    <w:basedOn w:val="a0"/>
    <w:uiPriority w:val="99"/>
    <w:qFormat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0"/>
    <w:uiPriority w:val="99"/>
    <w:qFormat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2">
    <w:name w:val="Font Style72"/>
    <w:basedOn w:val="a0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41">
    <w:name w:val="Неразрешенное упоминание4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3">
    <w:name w:val="Текст сноски Знак2"/>
    <w:qFormat/>
    <w:locked/>
    <w:rsid w:val="00A943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rmula-content">
    <w:name w:val="formula-content"/>
    <w:basedOn w:val="a0"/>
    <w:qFormat/>
    <w:rsid w:val="00BB1DE7"/>
  </w:style>
  <w:style w:type="character" w:customStyle="1" w:styleId="51">
    <w:name w:val="Неразрешенное упоминание5"/>
    <w:basedOn w:val="a0"/>
    <w:uiPriority w:val="99"/>
    <w:semiHidden/>
    <w:unhideWhenUsed/>
    <w:qFormat/>
    <w:rsid w:val="00E27A3C"/>
    <w:rPr>
      <w:color w:val="605E5C"/>
      <w:shd w:val="clear" w:color="auto" w:fill="E1DFDD"/>
    </w:rPr>
  </w:style>
  <w:style w:type="character" w:customStyle="1" w:styleId="af1">
    <w:name w:val="Ссылка указателя"/>
    <w:qFormat/>
  </w:style>
  <w:style w:type="character" w:customStyle="1" w:styleId="af2">
    <w:name w:val="Символ сноски"/>
    <w:qFormat/>
  </w:style>
  <w:style w:type="character" w:customStyle="1" w:styleId="af3">
    <w:name w:val="Символ концевой сноски"/>
    <w:qFormat/>
  </w:style>
  <w:style w:type="character" w:customStyle="1" w:styleId="af4">
    <w:name w:val="Символ нумерации"/>
    <w:qFormat/>
    <w:rPr>
      <w:rFonts w:ascii="Times New Roman" w:hAnsi="Times New Roman"/>
      <w:sz w:val="28"/>
      <w:szCs w:val="28"/>
    </w:rPr>
  </w:style>
  <w:style w:type="paragraph" w:styleId="af5">
    <w:name w:val="Title"/>
    <w:basedOn w:val="a"/>
    <w:next w:val="af6"/>
    <w:qFormat/>
    <w:rsid w:val="00A943EC"/>
    <w:pPr>
      <w:widowControl/>
      <w:jc w:val="center"/>
    </w:pPr>
    <w:rPr>
      <w:b/>
      <w:sz w:val="28"/>
    </w:rPr>
  </w:style>
  <w:style w:type="paragraph" w:styleId="af6">
    <w:name w:val="Body Text"/>
    <w:basedOn w:val="a"/>
    <w:semiHidden/>
    <w:unhideWhenUsed/>
    <w:rsid w:val="00A943EC"/>
    <w:pPr>
      <w:widowControl/>
      <w:spacing w:after="120"/>
    </w:p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a">
    <w:name w:val="Subtitle"/>
    <w:basedOn w:val="a"/>
    <w:next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paragraph" w:styleId="afb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c">
    <w:name w:val="endnote text"/>
    <w:basedOn w:val="a"/>
    <w:uiPriority w:val="99"/>
    <w:semiHidden/>
    <w:unhideWhenUsed/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table of figures"/>
    <w:basedOn w:val="a"/>
    <w:next w:val="a"/>
    <w:uiPriority w:val="99"/>
    <w:unhideWhenUsed/>
    <w:qFormat/>
  </w:style>
  <w:style w:type="paragraph" w:customStyle="1" w:styleId="ConsPlusNormal">
    <w:name w:val="ConsPlusNormal"/>
    <w:qFormat/>
    <w:rsid w:val="00A943EC"/>
    <w:pPr>
      <w:widowControl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styleId="a7">
    <w:name w:val="footnote text"/>
    <w:basedOn w:val="a"/>
    <w:link w:val="31"/>
    <w:uiPriority w:val="99"/>
  </w:style>
  <w:style w:type="paragraph" w:styleId="afe">
    <w:name w:val="List Paragraph"/>
    <w:basedOn w:val="a"/>
    <w:uiPriority w:val="34"/>
    <w:qFormat/>
    <w:pPr>
      <w:ind w:left="708"/>
    </w:pPr>
  </w:style>
  <w:style w:type="paragraph" w:styleId="aff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aff0">
    <w:name w:val="Верхний и нижний колонтитулы"/>
    <w:basedOn w:val="a"/>
    <w:qFormat/>
  </w:style>
  <w:style w:type="paragraph" w:styleId="aff1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2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3">
    <w:name w:val="Normal (Web)"/>
    <w:basedOn w:val="a"/>
    <w:uiPriority w:val="99"/>
    <w:unhideWhenUsed/>
    <w:qFormat/>
    <w:rsid w:val="00A943EC"/>
    <w:pPr>
      <w:widowControl/>
      <w:spacing w:beforeAutospacing="1" w:afterAutospacing="1"/>
    </w:pPr>
    <w:rPr>
      <w:sz w:val="24"/>
      <w:szCs w:val="24"/>
    </w:rPr>
  </w:style>
  <w:style w:type="paragraph" w:styleId="aff4">
    <w:name w:val="No Spacing"/>
    <w:uiPriority w:val="1"/>
    <w:qFormat/>
    <w:rsid w:val="00A943EC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qFormat/>
    <w:rsid w:val="00A943EC"/>
    <w:rPr>
      <w:rFonts w:ascii="Arial" w:eastAsia="Calibri" w:hAnsi="Arial" w:cs="Arial"/>
      <w:color w:val="000000"/>
    </w:rPr>
  </w:style>
  <w:style w:type="paragraph" w:customStyle="1" w:styleId="pc">
    <w:name w:val="pc"/>
    <w:basedOn w:val="a"/>
    <w:qFormat/>
    <w:rsid w:val="00A943EC"/>
    <w:pPr>
      <w:widowControl/>
      <w:spacing w:beforeAutospacing="1" w:afterAutospacing="1"/>
    </w:pPr>
    <w:rPr>
      <w:sz w:val="24"/>
      <w:szCs w:val="24"/>
    </w:rPr>
  </w:style>
  <w:style w:type="paragraph" w:styleId="34">
    <w:name w:val="List Bullet 3"/>
    <w:basedOn w:val="a"/>
    <w:qFormat/>
    <w:rsid w:val="00A943EC"/>
    <w:pPr>
      <w:widowControl/>
      <w:ind w:left="566" w:hanging="283"/>
    </w:pPr>
    <w:rPr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A943EC"/>
    <w:pPr>
      <w:widowControl/>
      <w:spacing w:before="240" w:line="259" w:lineRule="auto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uiPriority w:val="39"/>
    <w:unhideWhenUsed/>
    <w:rsid w:val="00A943EC"/>
    <w:pPr>
      <w:spacing w:after="100"/>
    </w:pPr>
  </w:style>
  <w:style w:type="paragraph" w:styleId="24">
    <w:name w:val="toc 2"/>
    <w:basedOn w:val="a"/>
    <w:next w:val="a"/>
    <w:uiPriority w:val="39"/>
    <w:unhideWhenUsed/>
    <w:rsid w:val="00A943EC"/>
    <w:pPr>
      <w:spacing w:after="100"/>
      <w:ind w:left="200"/>
    </w:pPr>
  </w:style>
  <w:style w:type="paragraph" w:customStyle="1" w:styleId="Style42">
    <w:name w:val="Style42"/>
    <w:basedOn w:val="a"/>
    <w:uiPriority w:val="99"/>
    <w:qFormat/>
    <w:pPr>
      <w:spacing w:line="487" w:lineRule="exact"/>
      <w:ind w:firstLine="710"/>
      <w:jc w:val="both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qFormat/>
    <w:pPr>
      <w:jc w:val="both"/>
    </w:pPr>
    <w:rPr>
      <w:rFonts w:eastAsiaTheme="minorEastAsia"/>
      <w:sz w:val="24"/>
      <w:szCs w:val="24"/>
    </w:rPr>
  </w:style>
  <w:style w:type="paragraph" w:customStyle="1" w:styleId="Style23">
    <w:name w:val="Style23"/>
    <w:basedOn w:val="a"/>
    <w:uiPriority w:val="99"/>
    <w:qFormat/>
    <w:rPr>
      <w:rFonts w:eastAsiaTheme="minorEastAsia"/>
      <w:sz w:val="24"/>
      <w:szCs w:val="24"/>
    </w:rPr>
  </w:style>
  <w:style w:type="paragraph" w:customStyle="1" w:styleId="Style13">
    <w:name w:val="Style13"/>
    <w:basedOn w:val="a"/>
    <w:uiPriority w:val="99"/>
    <w:qFormat/>
    <w:pPr>
      <w:spacing w:line="499" w:lineRule="exact"/>
      <w:ind w:firstLine="2664"/>
    </w:pPr>
    <w:rPr>
      <w:rFonts w:eastAsiaTheme="minorEastAsia"/>
      <w:sz w:val="24"/>
      <w:szCs w:val="24"/>
    </w:rPr>
  </w:style>
  <w:style w:type="paragraph" w:styleId="aff6">
    <w:name w:val="Revision"/>
    <w:uiPriority w:val="99"/>
    <w:semiHidden/>
    <w:qFormat/>
    <w:rsid w:val="00A943E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5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3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3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7">
    <w:name w:val="Table Grid"/>
    <w:basedOn w:val="a1"/>
    <w:uiPriority w:val="3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old.book.ru/book/938400" TargetMode="External"/><Relationship Id="rId18" Type="http://schemas.openxmlformats.org/officeDocument/2006/relationships/hyperlink" Target="https://kad.arbitr.ru/" TargetMode="External"/><Relationship Id="rId26" Type="http://schemas.openxmlformats.org/officeDocument/2006/relationships/hyperlink" Target="http://www.cbr.ru/banking_sector/otchetnost-kreditnykh-organizaciy/transparent/" TargetMode="External"/><Relationship Id="rId3" Type="http://schemas.openxmlformats.org/officeDocument/2006/relationships/styles" Target="styles.xml"/><Relationship Id="rId21" Type="http://schemas.openxmlformats.org/officeDocument/2006/relationships/hyperlink" Target="https://e-disclosure.ru/?attempt=1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cbr.ru/banking_sector/otchetnost-kreditnykh-organizaciy/transparent/" TargetMode="External"/><Relationship Id="rId25" Type="http://schemas.openxmlformats.org/officeDocument/2006/relationships/hyperlink" Target="https://ar.oversea.cnki.ne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br.ru/banking_sector/otchetnost-kreditnykh-organizaciy/transparent/" TargetMode="External"/><Relationship Id="rId20" Type="http://schemas.openxmlformats.org/officeDocument/2006/relationships/hyperlink" Target="https://analizbankov.ru/bank.php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hyperlink" Target="https://cbond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ook.ru/book/949371" TargetMode="External"/><Relationship Id="rId23" Type="http://schemas.openxmlformats.org/officeDocument/2006/relationships/hyperlink" Target="https://e.lanbook.com/" TargetMode="External"/><Relationship Id="rId28" Type="http://schemas.openxmlformats.org/officeDocument/2006/relationships/hyperlink" Target="https://kad.arbitr.ru/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analizbankov.ru/bank.php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url:https://book.ru/book/939538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s://analizbankov.ru/bank.php" TargetMode="External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cbr.ru/Content/Document/File/131711/information_report_20211220.pdf" TargetMode="External"/><Relationship Id="rId13" Type="http://schemas.openxmlformats.org/officeDocument/2006/relationships/hyperlink" Target="https://www.federalreserve.gov/supervisionreg/resolution-plans.htm" TargetMode="External"/><Relationship Id="rId3" Type="http://schemas.openxmlformats.org/officeDocument/2006/relationships/hyperlink" Target="https://www.eba.europa.eu/risk-and-data-analysis/risk-analysis/eu-wide-stress-testing/stress-test-2023" TargetMode="External"/><Relationship Id="rId7" Type="http://schemas.openxmlformats.org/officeDocument/2006/relationships/hyperlink" Target="https://www.fsb.org/2023/10/2023-bank-failures-preliminary-lessons-learnt-for-resolution/" TargetMode="External"/><Relationship Id="rId12" Type="http://schemas.openxmlformats.org/officeDocument/2006/relationships/hyperlink" Target="https://finance.ec.europa.eu/publications/reform-bank-crisis-management-and-deposit-insurance-framework_en" TargetMode="External"/><Relationship Id="rId17" Type="http://schemas.openxmlformats.org/officeDocument/2006/relationships/hyperlink" Target="https://www.fsb.org/2023/12/2023-resolution-report-applying-lessons-learnt/" TargetMode="External"/><Relationship Id="rId2" Type="http://schemas.openxmlformats.org/officeDocument/2006/relationships/hyperlink" Target="https://www.eba.europa.eu/guidelines-stress-testing" TargetMode="External"/><Relationship Id="rId16" Type="http://schemas.openxmlformats.org/officeDocument/2006/relationships/hyperlink" Target="https://www.federalreserve.gov/publications/dodd-frank-act-stress-test-publications.htm" TargetMode="External"/><Relationship Id="rId1" Type="http://schemas.openxmlformats.org/officeDocument/2006/relationships/hyperlink" Target="https://cbr.ru/Content/Document/File/71891/bis_20190507_2.pdf" TargetMode="External"/><Relationship Id="rId6" Type="http://schemas.openxmlformats.org/officeDocument/2006/relationships/hyperlink" Target="https://www.fsb.org/wp-content/uploads/P081222.pdf" TargetMode="External"/><Relationship Id="rId11" Type="http://schemas.openxmlformats.org/officeDocument/2006/relationships/hyperlink" Target="https://finance.ec.europa.eu/banking/banking-union/single-resolution-mechanism_en" TargetMode="External"/><Relationship Id="rId5" Type="http://schemas.openxmlformats.org/officeDocument/2006/relationships/hyperlink" Target="https://www.fsb.org/2023/12/2023-resolution-report-applying-lessons-learnt/" TargetMode="External"/><Relationship Id="rId15" Type="http://schemas.openxmlformats.org/officeDocument/2006/relationships/hyperlink" Target="https://www.bankingsupervision.europa.eu/banking/tasks/stresstests/html/index.en.html" TargetMode="External"/><Relationship Id="rId10" Type="http://schemas.openxmlformats.org/officeDocument/2006/relationships/hyperlink" Target="https://finance.ec.europa.eu/banking/banking-union/single-supervisory-mechanism_en" TargetMode="External"/><Relationship Id="rId4" Type="http://schemas.openxmlformats.org/officeDocument/2006/relationships/hyperlink" Target="https://www.fsb.org/2014/10/key-attributes-of-effective-resolution-regimes-for-financial-institutions-3/" TargetMode="External"/><Relationship Id="rId9" Type="http://schemas.openxmlformats.org/officeDocument/2006/relationships/hyperlink" Target="https://www.federalreserve.gov/supervisionreg/resolution-plans.htm" TargetMode="External"/><Relationship Id="rId14" Type="http://schemas.openxmlformats.org/officeDocument/2006/relationships/hyperlink" Target="https://www.asv.org.ru/banks?category=liquid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A8A77-A65C-4C56-93CD-49BCD463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9179</Words>
  <Characters>52322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Наталия</dc:creator>
  <dc:description/>
  <cp:lastModifiedBy>Айрапетян Каринэ Петросовна</cp:lastModifiedBy>
  <cp:revision>7</cp:revision>
  <cp:lastPrinted>2024-12-13T16:53:00Z</cp:lastPrinted>
  <dcterms:created xsi:type="dcterms:W3CDTF">2024-12-18T07:43:00Z</dcterms:created>
  <dcterms:modified xsi:type="dcterms:W3CDTF">2024-12-20T12:52:00Z</dcterms:modified>
  <dc:language>ru-RU</dc:language>
</cp:coreProperties>
</file>